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444231" w14:textId="386A1D69" w:rsidR="00AB46EE" w:rsidRDefault="002F75EF" w:rsidP="00744156">
      <w:pPr>
        <w:jc w:val="center"/>
        <w:rPr>
          <w:b/>
          <w:sz w:val="36"/>
          <w:szCs w:val="36"/>
        </w:rPr>
      </w:pPr>
      <w:r>
        <w:rPr>
          <w:noProof/>
          <w:lang w:eastAsia="fr-FR"/>
        </w:rPr>
        <w:drawing>
          <wp:anchor distT="0" distB="0" distL="114300" distR="114300" simplePos="0" relativeHeight="251658240" behindDoc="0" locked="0" layoutInCell="1" allowOverlap="1" wp14:anchorId="460EA36E" wp14:editId="3AA09651">
            <wp:simplePos x="0" y="0"/>
            <wp:positionH relativeFrom="column">
              <wp:posOffset>120709</wp:posOffset>
            </wp:positionH>
            <wp:positionV relativeFrom="paragraph">
              <wp:posOffset>-293901</wp:posOffset>
            </wp:positionV>
            <wp:extent cx="882015" cy="882015"/>
            <wp:effectExtent l="0" t="0" r="0" b="0"/>
            <wp:wrapNone/>
            <wp:docPr id="1" name="Image 1" descr="C:\Users\v_wojcieszko\Downloads\logosansccontour.jpg"/>
            <wp:cNvGraphicFramePr/>
            <a:graphic xmlns:a="http://schemas.openxmlformats.org/drawingml/2006/main">
              <a:graphicData uri="http://schemas.openxmlformats.org/drawingml/2006/picture">
                <pic:pic xmlns:pic="http://schemas.openxmlformats.org/drawingml/2006/picture">
                  <pic:nvPicPr>
                    <pic:cNvPr id="1" name="Image 1" descr="C:\Users\v_wojcieszko\Downloads\logosansccontour.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2015" cy="882015"/>
                    </a:xfrm>
                    <a:prstGeom prst="rect">
                      <a:avLst/>
                    </a:prstGeom>
                    <a:noFill/>
                    <a:ln>
                      <a:noFill/>
                    </a:ln>
                  </pic:spPr>
                </pic:pic>
              </a:graphicData>
            </a:graphic>
            <wp14:sizeRelH relativeFrom="page">
              <wp14:pctWidth>0</wp14:pctWidth>
            </wp14:sizeRelH>
            <wp14:sizeRelV relativeFrom="page">
              <wp14:pctHeight>0</wp14:pctHeight>
            </wp14:sizeRelV>
          </wp:anchor>
        </w:drawing>
      </w:r>
      <w:r w:rsidR="00744156" w:rsidRPr="00744156">
        <w:rPr>
          <w:b/>
          <w:sz w:val="36"/>
          <w:szCs w:val="36"/>
        </w:rPr>
        <w:t>Revue de presse</w:t>
      </w:r>
      <w:r w:rsidR="00FE53C6">
        <w:rPr>
          <w:b/>
          <w:sz w:val="36"/>
          <w:szCs w:val="36"/>
        </w:rPr>
        <w:t xml:space="preserve"> du 22/06</w:t>
      </w:r>
      <w:r w:rsidR="008039C1">
        <w:rPr>
          <w:b/>
          <w:sz w:val="36"/>
          <w:szCs w:val="36"/>
        </w:rPr>
        <w:t>/2020</w:t>
      </w:r>
    </w:p>
    <w:p w14:paraId="32AC00B5" w14:textId="77777777" w:rsidR="002F75EF" w:rsidRDefault="002F75EF" w:rsidP="00744156">
      <w:pPr>
        <w:jc w:val="center"/>
        <w:rPr>
          <w:b/>
          <w:sz w:val="36"/>
          <w:szCs w:val="36"/>
        </w:rPr>
      </w:pPr>
    </w:p>
    <w:p w14:paraId="0BA3EE5C" w14:textId="77777777" w:rsidR="002F75EF" w:rsidRPr="00D61621" w:rsidRDefault="002F75EF" w:rsidP="00744156">
      <w:pPr>
        <w:jc w:val="center"/>
        <w:rPr>
          <w:b/>
        </w:rPr>
      </w:pPr>
    </w:p>
    <w:p w14:paraId="2AFBECCB" w14:textId="77777777" w:rsidR="00744156" w:rsidRPr="00D61621" w:rsidRDefault="00744156" w:rsidP="00744156">
      <w:pPr>
        <w:spacing w:after="0"/>
      </w:pPr>
      <w:r w:rsidRPr="00D61621">
        <w:rPr>
          <w:b/>
        </w:rPr>
        <w:t xml:space="preserve">Principe : </w:t>
      </w:r>
      <w:r w:rsidRPr="00D61621">
        <w:t xml:space="preserve">L’équipe de la revue de presse se réunit une fois par mois. </w:t>
      </w:r>
    </w:p>
    <w:p w14:paraId="1DB7EDC5" w14:textId="77777777" w:rsidR="00744156" w:rsidRPr="00D61621" w:rsidRDefault="004E425F" w:rsidP="00744156">
      <w:pPr>
        <w:spacing w:after="0"/>
      </w:pPr>
      <w:r w:rsidRPr="00D61621">
        <w:t>Chaque membre se voit attribu</w:t>
      </w:r>
      <w:r w:rsidR="00744156" w:rsidRPr="00D61621">
        <w:t xml:space="preserve">er une revue et y sélectionne un article de son choix, qu’il a trouvé important, original, novateur … </w:t>
      </w:r>
    </w:p>
    <w:p w14:paraId="34295B5F" w14:textId="77777777" w:rsidR="00D94074" w:rsidRPr="00D61621" w:rsidRDefault="00744156" w:rsidP="00744156">
      <w:pPr>
        <w:spacing w:after="0"/>
      </w:pPr>
      <w:r w:rsidRPr="00D61621">
        <w:t>La revue de presse n’a pas vocation à être exhaustive</w:t>
      </w:r>
      <w:r w:rsidR="00D94074" w:rsidRPr="00D61621">
        <w:t>,</w:t>
      </w:r>
      <w:r w:rsidRPr="00D61621">
        <w:t xml:space="preserve"> mais à faire découvrir des articles</w:t>
      </w:r>
      <w:r w:rsidR="00D94074" w:rsidRPr="00D61621">
        <w:t xml:space="preserve"> et à amener discussion et réflexion. </w:t>
      </w:r>
      <w:r w:rsidRPr="00D61621">
        <w:t xml:space="preserve"> </w:t>
      </w:r>
    </w:p>
    <w:p w14:paraId="31A32191" w14:textId="77777777" w:rsidR="00D94074" w:rsidRPr="00D61621" w:rsidRDefault="00D94074" w:rsidP="00744156">
      <w:pPr>
        <w:spacing w:after="0"/>
      </w:pPr>
      <w:r w:rsidRPr="00D61621">
        <w:t xml:space="preserve">Bonne découverte ! </w:t>
      </w:r>
    </w:p>
    <w:p w14:paraId="5A4B95E6" w14:textId="77777777" w:rsidR="00744156" w:rsidRPr="00D61621" w:rsidRDefault="00744156" w:rsidP="00744156">
      <w:pPr>
        <w:spacing w:after="0"/>
      </w:pPr>
    </w:p>
    <w:p w14:paraId="20C26F10" w14:textId="68D5D451" w:rsidR="00744156" w:rsidRDefault="00744156" w:rsidP="00744156">
      <w:pPr>
        <w:rPr>
          <w:b/>
        </w:rPr>
      </w:pPr>
      <w:r w:rsidRPr="00A051AF">
        <w:rPr>
          <w:b/>
          <w:u w:val="single"/>
        </w:rPr>
        <w:t>Participants :</w:t>
      </w:r>
      <w:r w:rsidRPr="00D61621">
        <w:rPr>
          <w:b/>
        </w:rPr>
        <w:t xml:space="preserve"> </w:t>
      </w:r>
      <w:r w:rsidR="00B31569">
        <w:rPr>
          <w:b/>
        </w:rPr>
        <w:t xml:space="preserve">Pauline Corbeaux (Lyon), Juliette </w:t>
      </w:r>
      <w:proofErr w:type="spellStart"/>
      <w:r w:rsidR="00B31569">
        <w:rPr>
          <w:b/>
        </w:rPr>
        <w:t>Logeart</w:t>
      </w:r>
      <w:proofErr w:type="spellEnd"/>
      <w:r w:rsidR="00B31569">
        <w:rPr>
          <w:b/>
        </w:rPr>
        <w:t xml:space="preserve"> (Paris</w:t>
      </w:r>
      <w:proofErr w:type="gramStart"/>
      <w:r w:rsidR="00B31569">
        <w:rPr>
          <w:b/>
        </w:rPr>
        <w:t>) ,</w:t>
      </w:r>
      <w:proofErr w:type="gramEnd"/>
      <w:r w:rsidR="00B31569">
        <w:rPr>
          <w:b/>
        </w:rPr>
        <w:t xml:space="preserve"> Adrien Rousseau (Paris) , Matthieu </w:t>
      </w:r>
      <w:proofErr w:type="spellStart"/>
      <w:r w:rsidR="00B31569">
        <w:rPr>
          <w:b/>
        </w:rPr>
        <w:t>Delaye</w:t>
      </w:r>
      <w:proofErr w:type="spellEnd"/>
      <w:r w:rsidR="00B31569">
        <w:rPr>
          <w:b/>
        </w:rPr>
        <w:t xml:space="preserve"> (Paris), Frédérique Ortiz (Bordeaux) , Adrien Procureur (Paris) </w:t>
      </w:r>
    </w:p>
    <w:p w14:paraId="5E2B7427" w14:textId="77777777" w:rsidR="004A6E6B" w:rsidRDefault="004A6E6B" w:rsidP="00744156"/>
    <w:p w14:paraId="4413F6FA" w14:textId="77777777" w:rsidR="00A34CA4" w:rsidRPr="00D61621" w:rsidRDefault="00A34CA4" w:rsidP="00744156"/>
    <w:p w14:paraId="4CF6A37F" w14:textId="77777777" w:rsidR="00526DBC" w:rsidRDefault="00744156" w:rsidP="00526DBC">
      <w:pPr>
        <w:tabs>
          <w:tab w:val="center" w:pos="4536"/>
        </w:tabs>
        <w:jc w:val="center"/>
        <w:rPr>
          <w:b/>
          <w:u w:val="single"/>
        </w:rPr>
      </w:pPr>
      <w:r w:rsidRPr="00D30D68">
        <w:rPr>
          <w:b/>
          <w:u w:val="single"/>
        </w:rPr>
        <w:t>Articles sélectionnés :</w:t>
      </w:r>
    </w:p>
    <w:p w14:paraId="2CEB0E56" w14:textId="77777777" w:rsidR="00526DBC" w:rsidRPr="00526DBC" w:rsidRDefault="00526DBC" w:rsidP="00526DBC">
      <w:pPr>
        <w:tabs>
          <w:tab w:val="center" w:pos="4536"/>
        </w:tabs>
        <w:jc w:val="center"/>
        <w:rPr>
          <w:b/>
          <w:u w:val="single"/>
        </w:rPr>
      </w:pPr>
    </w:p>
    <w:p w14:paraId="1D8528C4" w14:textId="48519EE2" w:rsidR="00A34CA4" w:rsidRPr="00902CC1" w:rsidRDefault="00A63EE6" w:rsidP="00021681">
      <w:pPr>
        <w:spacing w:after="0"/>
        <w:rPr>
          <w:b/>
        </w:rPr>
      </w:pPr>
      <w:r w:rsidRPr="00902CC1">
        <w:rPr>
          <w:b/>
        </w:rPr>
        <w:t>Matthieu</w:t>
      </w:r>
      <w:r w:rsidR="00A34CA4" w:rsidRPr="00902CC1">
        <w:rPr>
          <w:b/>
        </w:rPr>
        <w:t xml:space="preserve">: </w:t>
      </w:r>
      <w:proofErr w:type="spellStart"/>
      <w:r w:rsidR="00FE53C6" w:rsidRPr="00902CC1">
        <w:rPr>
          <w:b/>
        </w:rPr>
        <w:t>Annals</w:t>
      </w:r>
      <w:proofErr w:type="spellEnd"/>
      <w:r w:rsidR="00FE53C6" w:rsidRPr="00902CC1">
        <w:rPr>
          <w:b/>
        </w:rPr>
        <w:t xml:space="preserve"> of </w:t>
      </w:r>
      <w:proofErr w:type="spellStart"/>
      <w:r w:rsidR="00FE53C6" w:rsidRPr="00902CC1">
        <w:rPr>
          <w:b/>
        </w:rPr>
        <w:t>Oncology</w:t>
      </w:r>
      <w:proofErr w:type="spellEnd"/>
      <w:r w:rsidR="00FE53C6" w:rsidRPr="00902CC1">
        <w:rPr>
          <w:b/>
        </w:rPr>
        <w:t xml:space="preserve"> </w:t>
      </w:r>
    </w:p>
    <w:p w14:paraId="1879B4C2" w14:textId="085B44CA" w:rsidR="00A051AF" w:rsidRPr="00902CC1" w:rsidRDefault="00A051AF" w:rsidP="00A051AF">
      <w:pPr>
        <w:spacing w:after="0"/>
        <w:rPr>
          <w:b/>
          <w:u w:val="single"/>
        </w:rPr>
      </w:pPr>
    </w:p>
    <w:p w14:paraId="306AB21B" w14:textId="2F00645C" w:rsidR="00FE53C6" w:rsidRPr="001B64A4" w:rsidRDefault="001B64A4" w:rsidP="00A051AF">
      <w:pPr>
        <w:spacing w:after="0"/>
        <w:rPr>
          <w:b/>
          <w:u w:val="single"/>
        </w:rPr>
      </w:pPr>
      <w:r w:rsidRPr="001B64A4">
        <w:rPr>
          <w:b/>
          <w:u w:val="single"/>
          <w:lang w:val="en-US"/>
        </w:rPr>
        <w:t xml:space="preserve">Millstein J, </w:t>
      </w:r>
      <w:proofErr w:type="spellStart"/>
      <w:r w:rsidRPr="001B64A4">
        <w:rPr>
          <w:b/>
          <w:u w:val="single"/>
          <w:lang w:val="en-US"/>
        </w:rPr>
        <w:t>Budden</w:t>
      </w:r>
      <w:proofErr w:type="spellEnd"/>
      <w:r w:rsidRPr="001B64A4">
        <w:rPr>
          <w:b/>
          <w:u w:val="single"/>
          <w:lang w:val="en-US"/>
        </w:rPr>
        <w:t xml:space="preserve"> T, Goode EL, </w:t>
      </w:r>
      <w:proofErr w:type="spellStart"/>
      <w:r w:rsidRPr="001B64A4">
        <w:rPr>
          <w:b/>
          <w:u w:val="single"/>
          <w:lang w:val="en-US"/>
        </w:rPr>
        <w:t>Anglesio</w:t>
      </w:r>
      <w:proofErr w:type="spellEnd"/>
      <w:r w:rsidRPr="001B64A4">
        <w:rPr>
          <w:b/>
          <w:u w:val="single"/>
          <w:lang w:val="en-US"/>
        </w:rPr>
        <w:t xml:space="preserve"> MS, </w:t>
      </w:r>
      <w:proofErr w:type="spellStart"/>
      <w:r w:rsidRPr="001B64A4">
        <w:rPr>
          <w:b/>
          <w:u w:val="single"/>
          <w:lang w:val="en-US"/>
        </w:rPr>
        <w:t>Talhouk</w:t>
      </w:r>
      <w:proofErr w:type="spellEnd"/>
      <w:r w:rsidRPr="001B64A4">
        <w:rPr>
          <w:b/>
          <w:u w:val="single"/>
          <w:lang w:val="en-US"/>
        </w:rPr>
        <w:t xml:space="preserve"> A, </w:t>
      </w:r>
      <w:proofErr w:type="spellStart"/>
      <w:r w:rsidRPr="001B64A4">
        <w:rPr>
          <w:b/>
          <w:u w:val="single"/>
          <w:lang w:val="en-US"/>
        </w:rPr>
        <w:t>Intermaggio</w:t>
      </w:r>
      <w:proofErr w:type="spellEnd"/>
      <w:r w:rsidRPr="001B64A4">
        <w:rPr>
          <w:b/>
          <w:u w:val="single"/>
          <w:lang w:val="en-US"/>
        </w:rPr>
        <w:t xml:space="preserve"> MP, et al. Prognostic gene expression signature for high-grade serous ovarian</w:t>
      </w:r>
      <w:r>
        <w:rPr>
          <w:b/>
          <w:u w:val="single"/>
          <w:lang w:val="en-US"/>
        </w:rPr>
        <w:t xml:space="preserve"> cancer. </w:t>
      </w:r>
      <w:r w:rsidRPr="001B64A4">
        <w:rPr>
          <w:b/>
          <w:u w:val="single"/>
        </w:rPr>
        <w:t xml:space="preserve">Ann </w:t>
      </w:r>
      <w:proofErr w:type="spellStart"/>
      <w:r w:rsidRPr="001B64A4">
        <w:rPr>
          <w:b/>
          <w:u w:val="single"/>
        </w:rPr>
        <w:t>Oncol</w:t>
      </w:r>
      <w:proofErr w:type="spellEnd"/>
      <w:r w:rsidRPr="001B64A4">
        <w:rPr>
          <w:b/>
          <w:u w:val="single"/>
        </w:rPr>
        <w:t>. 27 mai 2020</w:t>
      </w:r>
    </w:p>
    <w:p w14:paraId="2473BDB9" w14:textId="77777777" w:rsidR="00FE53C6" w:rsidRPr="001B64A4" w:rsidRDefault="00FE53C6" w:rsidP="00A051AF">
      <w:pPr>
        <w:spacing w:after="0"/>
        <w:rPr>
          <w:b/>
          <w:u w:val="single"/>
        </w:rPr>
      </w:pPr>
    </w:p>
    <w:p w14:paraId="285F1AA8" w14:textId="1F79ED5A" w:rsidR="00A051AF" w:rsidRDefault="001B64A4" w:rsidP="00021681">
      <w:pPr>
        <w:spacing w:after="0"/>
      </w:pPr>
      <w:r w:rsidRPr="001B64A4">
        <w:t>Cet article s’intéresse au</w:t>
      </w:r>
      <w:r>
        <w:t xml:space="preserve">x facteurs pronostiques du cancer de l’ovaire. </w:t>
      </w:r>
    </w:p>
    <w:p w14:paraId="23935EC1" w14:textId="29A53815" w:rsidR="001B64A4" w:rsidRDefault="001B64A4" w:rsidP="00021681">
      <w:pPr>
        <w:spacing w:after="0"/>
      </w:pPr>
      <w:r>
        <w:t xml:space="preserve">Les éléments pronostiques validés jusque-là étaient le stade FIGO, la maladie résiduelle post opératoire, le statut BRCA 1 et 2 et la score d’infiltration lymphocytaire. </w:t>
      </w:r>
    </w:p>
    <w:p w14:paraId="426533A7" w14:textId="533B0AA3" w:rsidR="001B64A4" w:rsidRDefault="001B64A4" w:rsidP="00021681">
      <w:pPr>
        <w:spacing w:after="0"/>
      </w:pPr>
      <w:r>
        <w:t xml:space="preserve">Ici, l’équipe de chercheur cherchent à construire un outil pronostique utilisant une signature génétique. </w:t>
      </w:r>
      <w:r w:rsidR="00B31569">
        <w:t>(</w:t>
      </w:r>
      <w:proofErr w:type="gramStart"/>
      <w:r w:rsidR="00B31569">
        <w:t>analyse</w:t>
      </w:r>
      <w:proofErr w:type="gramEnd"/>
      <w:r w:rsidR="00B31569">
        <w:t xml:space="preserve"> somatique)</w:t>
      </w:r>
    </w:p>
    <w:p w14:paraId="4C78D916" w14:textId="77777777" w:rsidR="008F7A11" w:rsidRDefault="001B64A4" w:rsidP="00021681">
      <w:pPr>
        <w:spacing w:after="0"/>
      </w:pPr>
      <w:r>
        <w:t xml:space="preserve">Ils s’appuient sur des études mettant en évidence une association entre certains gènes et le pronostic. </w:t>
      </w:r>
    </w:p>
    <w:p w14:paraId="122C39B0" w14:textId="45ADD9C2" w:rsidR="008F7A11" w:rsidRDefault="001B64A4" w:rsidP="00021681">
      <w:pPr>
        <w:spacing w:after="0"/>
      </w:pPr>
      <w:r>
        <w:t xml:space="preserve">Aucune étude de grande amplitude n’a permis jusqu’ici de construire un outil pertinent. </w:t>
      </w:r>
    </w:p>
    <w:p w14:paraId="3987CE3E" w14:textId="77777777" w:rsidR="008F7A11" w:rsidRDefault="008F7A11" w:rsidP="00021681">
      <w:pPr>
        <w:spacing w:after="0"/>
      </w:pPr>
    </w:p>
    <w:p w14:paraId="79374F37" w14:textId="097471B6" w:rsidR="008F7A11" w:rsidRDefault="008F7A11" w:rsidP="00021681">
      <w:pPr>
        <w:spacing w:after="0"/>
      </w:pPr>
      <w:r>
        <w:t xml:space="preserve">La population d’étude est constituée de 4071 patientes issues de 22 études dans lesquelles une pièce tumorale était disponible. </w:t>
      </w:r>
      <w:r w:rsidR="004D36E6">
        <w:t xml:space="preserve">Les patientes avaient un cancer de l’ovaire de stade III ou IV pour la plupart et recevaient un traitement de chimiothérapie par </w:t>
      </w:r>
      <w:proofErr w:type="spellStart"/>
      <w:r w:rsidR="004D36E6">
        <w:t>Carboplatine</w:t>
      </w:r>
      <w:proofErr w:type="spellEnd"/>
      <w:r w:rsidR="004D36E6">
        <w:t xml:space="preserve"> + </w:t>
      </w:r>
      <w:proofErr w:type="spellStart"/>
      <w:r w:rsidR="004D36E6">
        <w:t>Paclitaxel</w:t>
      </w:r>
      <w:proofErr w:type="spellEnd"/>
      <w:r w:rsidR="004D36E6">
        <w:t xml:space="preserve"> +/- en post opératoire po</w:t>
      </w:r>
      <w:r w:rsidR="00B31569">
        <w:t xml:space="preserve">ur la plupart. Pas d’inhibiteur de </w:t>
      </w:r>
      <w:proofErr w:type="spellStart"/>
      <w:r w:rsidR="00B31569">
        <w:t>Parp</w:t>
      </w:r>
      <w:proofErr w:type="spellEnd"/>
      <w:r w:rsidR="00B31569">
        <w:t xml:space="preserve"> mentionné</w:t>
      </w:r>
      <w:r w:rsidR="004D36E6">
        <w:t xml:space="preserve"> dans cette étude. </w:t>
      </w:r>
    </w:p>
    <w:p w14:paraId="5C2D8E5E" w14:textId="58FF1296" w:rsidR="001B64A4" w:rsidRDefault="008F7A11" w:rsidP="00021681">
      <w:pPr>
        <w:spacing w:after="0"/>
      </w:pPr>
      <w:r>
        <w:t>I</w:t>
      </w:r>
      <w:r w:rsidR="001B64A4">
        <w:t>ls procèdent en deux étapes :</w:t>
      </w:r>
    </w:p>
    <w:p w14:paraId="13CC65CF" w14:textId="77777777" w:rsidR="008F7A11" w:rsidRDefault="001B64A4" w:rsidP="00021681">
      <w:pPr>
        <w:spacing w:after="0"/>
      </w:pPr>
      <w:r>
        <w:t xml:space="preserve">1) </w:t>
      </w:r>
      <w:r w:rsidR="008F7A11">
        <w:t>Construction d’une signature génique : sélection de gènes candidats à</w:t>
      </w:r>
      <w:r>
        <w:t xml:space="preserve"> partir de </w:t>
      </w:r>
      <w:proofErr w:type="spellStart"/>
      <w:r>
        <w:t>meta</w:t>
      </w:r>
      <w:proofErr w:type="spellEnd"/>
      <w:r>
        <w:t xml:space="preserve">-analyses </w:t>
      </w:r>
      <w:r w:rsidR="008F7A11">
        <w:t xml:space="preserve">des études sur la valeur  pronostique de certains gènes + ajout d’autres gènes selon des considérations physiopathologiques. </w:t>
      </w:r>
    </w:p>
    <w:p w14:paraId="71FA01F4" w14:textId="3CF0D7EF" w:rsidR="001B64A4" w:rsidRDefault="008F7A11" w:rsidP="00021681">
      <w:pPr>
        <w:spacing w:after="0"/>
      </w:pPr>
      <w:r>
        <w:lastRenderedPageBreak/>
        <w:t xml:space="preserve">Dans une partie de la population sélectionnée : étude de l’association entre les gènes de la signature et le pronostic pour construire la signature. </w:t>
      </w:r>
    </w:p>
    <w:p w14:paraId="725ABBF3" w14:textId="7846D6AF" w:rsidR="008F7A11" w:rsidRDefault="008F7A11" w:rsidP="00021681">
      <w:pPr>
        <w:spacing w:after="0"/>
      </w:pPr>
      <w:r>
        <w:t xml:space="preserve">2) Validation de cet outil dans une seconde partie de la population. </w:t>
      </w:r>
    </w:p>
    <w:p w14:paraId="50A6EA70" w14:textId="77777777" w:rsidR="008F7A11" w:rsidRDefault="008F7A11" w:rsidP="00021681">
      <w:pPr>
        <w:spacing w:after="0"/>
      </w:pPr>
    </w:p>
    <w:p w14:paraId="7E98AEA8" w14:textId="68393818" w:rsidR="008F7A11" w:rsidRDefault="008F7A11" w:rsidP="00021681">
      <w:pPr>
        <w:spacing w:after="0"/>
      </w:pPr>
      <w:r>
        <w:t xml:space="preserve">L’étude montre que de nombreux gènes sont associés au pronostic. </w:t>
      </w:r>
    </w:p>
    <w:p w14:paraId="7629DF4F" w14:textId="0AFAF18D" w:rsidR="008F7A11" w:rsidRDefault="008F7A11" w:rsidP="00021681">
      <w:pPr>
        <w:spacing w:after="0"/>
      </w:pPr>
      <w:r>
        <w:t xml:space="preserve">5 gènes ont une corrélation particulièrement importante : TAP1, ZFHX4, CXCL9, FBN1, and PTGER3. </w:t>
      </w:r>
    </w:p>
    <w:p w14:paraId="53CDCD82" w14:textId="6B6BF9D0" w:rsidR="008F7A11" w:rsidRDefault="004D36E6" w:rsidP="00021681">
      <w:pPr>
        <w:spacing w:after="0"/>
      </w:pPr>
      <w:r>
        <w:t>Les gènes associés participent à de nombreuses voies, de l’immunité, du métabolisme …</w:t>
      </w:r>
    </w:p>
    <w:p w14:paraId="285B9407" w14:textId="36F30939" w:rsidR="004D36E6" w:rsidRDefault="004D36E6" w:rsidP="00021681">
      <w:pPr>
        <w:spacing w:after="0"/>
      </w:pPr>
      <w:r>
        <w:t xml:space="preserve">Certaines anomalies seraient </w:t>
      </w:r>
      <w:proofErr w:type="spellStart"/>
      <w:r>
        <w:t>ciblables</w:t>
      </w:r>
      <w:proofErr w:type="spellEnd"/>
      <w:r>
        <w:t xml:space="preserve"> en thérapeutique comme la voie MYC qui est surreprésentée chez les patients qui quintile avec le pronostic le plus péjoratif. </w:t>
      </w:r>
    </w:p>
    <w:p w14:paraId="24B5A6DA" w14:textId="055D6F9E" w:rsidR="004D36E6" w:rsidRDefault="004D36E6" w:rsidP="00021681">
      <w:pPr>
        <w:spacing w:after="0"/>
      </w:pPr>
      <w:r>
        <w:t xml:space="preserve">La signature a une AUC aux alentours de 0,70 ce qui rend sa capacité prédictive légèrement supérieure à l’âge et au stade seuls. </w:t>
      </w:r>
    </w:p>
    <w:p w14:paraId="58BCC4B6" w14:textId="77777777" w:rsidR="004D36E6" w:rsidRDefault="004D36E6" w:rsidP="004D36E6">
      <w:pPr>
        <w:spacing w:after="0"/>
      </w:pPr>
      <w:r>
        <w:t xml:space="preserve">Ces résultats sont validés par une analyse de sensibilité et un ajustement selon les facteurs confondants. </w:t>
      </w:r>
    </w:p>
    <w:p w14:paraId="2E7CB610" w14:textId="77777777" w:rsidR="008F7A11" w:rsidRDefault="008F7A11" w:rsidP="00021681">
      <w:pPr>
        <w:spacing w:after="0"/>
      </w:pPr>
    </w:p>
    <w:p w14:paraId="38F815B9" w14:textId="5E300D83" w:rsidR="004D36E6" w:rsidRDefault="004D36E6" w:rsidP="00021681">
      <w:pPr>
        <w:spacing w:after="0"/>
      </w:pPr>
      <w:r>
        <w:t xml:space="preserve">Ainsi donc, cette étude </w:t>
      </w:r>
      <w:r w:rsidR="00B31569">
        <w:t>conduit</w:t>
      </w:r>
      <w:r>
        <w:t xml:space="preserve"> à la création d’un outil intéressant pour la pratique clinique et la recherche. De plus, elle met en évidence </w:t>
      </w:r>
      <w:r w:rsidR="00B31569">
        <w:t>certaines</w:t>
      </w:r>
      <w:r>
        <w:t xml:space="preserve"> voies </w:t>
      </w:r>
      <w:proofErr w:type="spellStart"/>
      <w:r>
        <w:t>ciblables</w:t>
      </w:r>
      <w:proofErr w:type="spellEnd"/>
      <w:r>
        <w:t xml:space="preserve"> en thérapeutiques.  </w:t>
      </w:r>
    </w:p>
    <w:p w14:paraId="01614275" w14:textId="6C8FC0D6" w:rsidR="008F7A11" w:rsidRDefault="008F7A11" w:rsidP="00021681">
      <w:pPr>
        <w:spacing w:after="0"/>
      </w:pPr>
      <w:r>
        <w:t xml:space="preserve">Cette étude </w:t>
      </w:r>
      <w:r w:rsidR="004D36E6">
        <w:t xml:space="preserve">de vaste amplitude et à la méthodologie solide </w:t>
      </w:r>
      <w:r>
        <w:t xml:space="preserve">a l’avantage de s’appuyer sur la pièce opératoire, ce qui rend la méthode généralisable en pratique courante. </w:t>
      </w:r>
    </w:p>
    <w:p w14:paraId="2A348C23" w14:textId="7CBC21EE" w:rsidR="008F7A11" w:rsidRDefault="004D36E6" w:rsidP="00021681">
      <w:pPr>
        <w:spacing w:after="0"/>
      </w:pPr>
      <w:r>
        <w:t xml:space="preserve">En revanche, </w:t>
      </w:r>
      <w:r w:rsidR="00B31569">
        <w:t xml:space="preserve">on peut reproche l’absence d’utilisation d’inhibiteur de PARP ainsi que le pouvoir discriminant finalement assez faible de la signature par rapport aux facteurs pronostiques déjà décrits. </w:t>
      </w:r>
    </w:p>
    <w:p w14:paraId="586EA50A" w14:textId="34A57F18" w:rsidR="00B31569" w:rsidRPr="001B64A4" w:rsidRDefault="00B31569" w:rsidP="00021681">
      <w:pPr>
        <w:spacing w:after="0"/>
      </w:pPr>
      <w:r>
        <w:t xml:space="preserve">Un score mixe (génétique + clinique) pourrait être intéressant. </w:t>
      </w:r>
    </w:p>
    <w:p w14:paraId="25D4836B" w14:textId="77777777" w:rsidR="00A051AF" w:rsidRDefault="00A051AF" w:rsidP="00021681">
      <w:pPr>
        <w:spacing w:after="0"/>
        <w:rPr>
          <w:b/>
          <w:u w:val="single"/>
        </w:rPr>
      </w:pPr>
    </w:p>
    <w:p w14:paraId="029535C0" w14:textId="77777777" w:rsidR="00B31569" w:rsidRPr="001B64A4" w:rsidRDefault="00B31569" w:rsidP="00021681">
      <w:pPr>
        <w:spacing w:after="0"/>
        <w:rPr>
          <w:b/>
          <w:u w:val="single"/>
        </w:rPr>
      </w:pPr>
    </w:p>
    <w:p w14:paraId="4AE3D121" w14:textId="7C2184E2" w:rsidR="00B31569" w:rsidRDefault="00A63EE6" w:rsidP="00B31569">
      <w:pPr>
        <w:spacing w:after="0"/>
        <w:rPr>
          <w:rFonts w:cstheme="minorHAnsi"/>
          <w:lang w:val="en-US"/>
        </w:rPr>
      </w:pPr>
      <w:r w:rsidRPr="00B31569">
        <w:rPr>
          <w:b/>
          <w:lang w:val="en-US"/>
        </w:rPr>
        <w:t>Juliette:</w:t>
      </w:r>
      <w:r w:rsidR="00B31569" w:rsidRPr="00B31569">
        <w:rPr>
          <w:b/>
          <w:lang w:val="en-US"/>
        </w:rPr>
        <w:t xml:space="preserve"> </w:t>
      </w:r>
      <w:r w:rsidR="00B31569">
        <w:rPr>
          <w:b/>
          <w:lang w:val="en-US"/>
        </w:rPr>
        <w:t>New England Journal of Medicine (</w:t>
      </w:r>
      <w:r w:rsidR="00B31569" w:rsidRPr="00B31569">
        <w:rPr>
          <w:rFonts w:cstheme="minorHAnsi"/>
          <w:b/>
          <w:lang w:val="en-US"/>
        </w:rPr>
        <w:t>NEJM</w:t>
      </w:r>
      <w:proofErr w:type="gramStart"/>
      <w:r w:rsidR="00B31569">
        <w:rPr>
          <w:rFonts w:cstheme="minorHAnsi"/>
          <w:b/>
          <w:lang w:val="en-US"/>
        </w:rPr>
        <w:t>)</w:t>
      </w:r>
      <w:r w:rsidR="00B31569" w:rsidRPr="00B31569">
        <w:rPr>
          <w:rFonts w:cstheme="minorHAnsi"/>
          <w:lang w:val="en-US"/>
        </w:rPr>
        <w:t> :</w:t>
      </w:r>
      <w:proofErr w:type="gramEnd"/>
    </w:p>
    <w:p w14:paraId="27EADD6F" w14:textId="77777777" w:rsidR="00B31569" w:rsidRDefault="00B31569" w:rsidP="00B31569">
      <w:pPr>
        <w:spacing w:after="0"/>
        <w:rPr>
          <w:rFonts w:cstheme="minorHAnsi"/>
          <w:lang w:val="en-US"/>
        </w:rPr>
      </w:pPr>
    </w:p>
    <w:p w14:paraId="7850BDB9" w14:textId="3C153FED" w:rsidR="00B31569" w:rsidRPr="00B31569" w:rsidRDefault="00B31569" w:rsidP="00B31569">
      <w:pPr>
        <w:spacing w:after="0"/>
        <w:rPr>
          <w:b/>
          <w:u w:val="single"/>
          <w:lang w:val="en-US"/>
        </w:rPr>
      </w:pPr>
      <w:r w:rsidRPr="00B31569">
        <w:rPr>
          <w:rFonts w:cstheme="minorHAnsi"/>
          <w:lang w:val="en-US"/>
        </w:rPr>
        <w:t xml:space="preserve"> </w:t>
      </w:r>
      <w:proofErr w:type="spellStart"/>
      <w:proofErr w:type="gramStart"/>
      <w:r w:rsidRPr="00B31569">
        <w:rPr>
          <w:rFonts w:cstheme="minorHAnsi"/>
          <w:b/>
          <w:color w:val="1A1A1A"/>
          <w:spacing w:val="-1"/>
          <w:u w:val="single"/>
          <w:bdr w:val="none" w:sz="0" w:space="0" w:color="auto" w:frame="1"/>
          <w:lang w:val="en-US"/>
        </w:rPr>
        <w:t>Shitara</w:t>
      </w:r>
      <w:proofErr w:type="spellEnd"/>
      <w:r w:rsidRPr="00B31569">
        <w:rPr>
          <w:rFonts w:cstheme="minorHAnsi"/>
          <w:b/>
          <w:color w:val="1A1A1A"/>
          <w:spacing w:val="-1"/>
          <w:u w:val="single"/>
          <w:bdr w:val="none" w:sz="0" w:space="0" w:color="auto" w:frame="1"/>
          <w:lang w:val="en-US"/>
        </w:rPr>
        <w:t xml:space="preserve"> et al. </w:t>
      </w:r>
      <w:proofErr w:type="spellStart"/>
      <w:r w:rsidRPr="00B31569">
        <w:rPr>
          <w:rFonts w:cstheme="minorHAnsi"/>
          <w:b/>
          <w:color w:val="1A1A1A"/>
          <w:spacing w:val="-1"/>
          <w:u w:val="single"/>
          <w:bdr w:val="none" w:sz="0" w:space="0" w:color="auto" w:frame="1"/>
          <w:lang w:val="en-US"/>
        </w:rPr>
        <w:t>Trastuzumab</w:t>
      </w:r>
      <w:proofErr w:type="spellEnd"/>
      <w:r w:rsidRPr="00B31569">
        <w:rPr>
          <w:rFonts w:cstheme="minorHAnsi"/>
          <w:b/>
          <w:color w:val="1A1A1A"/>
          <w:spacing w:val="-1"/>
          <w:u w:val="single"/>
          <w:bdr w:val="none" w:sz="0" w:space="0" w:color="auto" w:frame="1"/>
          <w:lang w:val="en-US"/>
        </w:rPr>
        <w:t xml:space="preserve"> </w:t>
      </w:r>
      <w:proofErr w:type="spellStart"/>
      <w:r w:rsidRPr="00B31569">
        <w:rPr>
          <w:rFonts w:cstheme="minorHAnsi"/>
          <w:b/>
          <w:color w:val="1A1A1A"/>
          <w:spacing w:val="-1"/>
          <w:u w:val="single"/>
          <w:bdr w:val="none" w:sz="0" w:space="0" w:color="auto" w:frame="1"/>
          <w:lang w:val="en-US"/>
        </w:rPr>
        <w:t>Deruxtecan</w:t>
      </w:r>
      <w:proofErr w:type="spellEnd"/>
      <w:r w:rsidRPr="00B31569">
        <w:rPr>
          <w:rFonts w:cstheme="minorHAnsi"/>
          <w:b/>
          <w:color w:val="1A1A1A"/>
          <w:spacing w:val="-1"/>
          <w:u w:val="single"/>
          <w:bdr w:val="none" w:sz="0" w:space="0" w:color="auto" w:frame="1"/>
          <w:lang w:val="en-US"/>
        </w:rPr>
        <w:t xml:space="preserve"> in Previously Treated HER2-Positive Gastric Cancer.</w:t>
      </w:r>
      <w:proofErr w:type="gramEnd"/>
      <w:r w:rsidRPr="00B31569">
        <w:rPr>
          <w:rFonts w:cstheme="minorHAnsi"/>
          <w:b/>
          <w:color w:val="1A1A1A"/>
          <w:spacing w:val="-1"/>
          <w:u w:val="single"/>
          <w:bdr w:val="none" w:sz="0" w:space="0" w:color="auto" w:frame="1"/>
          <w:lang w:val="en-US"/>
        </w:rPr>
        <w:t xml:space="preserve"> </w:t>
      </w:r>
    </w:p>
    <w:p w14:paraId="4C8B6422" w14:textId="77777777" w:rsidR="00B31569" w:rsidRPr="00B31569" w:rsidRDefault="00B31569" w:rsidP="00B31569">
      <w:pPr>
        <w:rPr>
          <w:lang w:val="en-US"/>
        </w:rPr>
      </w:pPr>
    </w:p>
    <w:p w14:paraId="1A8D44D8" w14:textId="77777777" w:rsidR="00B31569" w:rsidRDefault="00B31569" w:rsidP="00B31569">
      <w:pPr>
        <w:spacing w:after="0"/>
      </w:pPr>
      <w:r>
        <w:rPr>
          <w:u w:val="single"/>
        </w:rPr>
        <w:t>Contexte</w:t>
      </w:r>
      <w:r>
        <w:t> :</w:t>
      </w:r>
    </w:p>
    <w:p w14:paraId="1BA90D11" w14:textId="77777777" w:rsidR="00B31569" w:rsidRDefault="00B31569" w:rsidP="00B31569">
      <w:pPr>
        <w:spacing w:after="0"/>
      </w:pPr>
      <w:r>
        <w:t xml:space="preserve">15-20% des cancers gastriques et de la jonction œsogastriques ont une surexpression de l’HER2 (Asie de l’est+++). </w:t>
      </w:r>
    </w:p>
    <w:p w14:paraId="3896D9CD" w14:textId="24119602" w:rsidR="00B31569" w:rsidRDefault="00B31569" w:rsidP="00B31569">
      <w:pPr>
        <w:spacing w:after="0"/>
      </w:pPr>
      <w:r>
        <w:t xml:space="preserve">L’association Chimiothérapie + </w:t>
      </w:r>
      <w:proofErr w:type="spellStart"/>
      <w:r>
        <w:t>Trastuzumab</w:t>
      </w:r>
      <w:proofErr w:type="spellEnd"/>
      <w:r>
        <w:t xml:space="preserve"> (Anticorps anti-HER2) est recommandé en 1ere ligne (</w:t>
      </w:r>
      <w:proofErr w:type="spellStart"/>
      <w:r>
        <w:t>cf</w:t>
      </w:r>
      <w:proofErr w:type="spellEnd"/>
      <w:r>
        <w:t xml:space="preserve"> phase 3 </w:t>
      </w:r>
      <w:proofErr w:type="spellStart"/>
      <w:r>
        <w:t>ToGA</w:t>
      </w:r>
      <w:proofErr w:type="spellEnd"/>
      <w:r>
        <w:t>)</w:t>
      </w:r>
    </w:p>
    <w:p w14:paraId="0E2E6451" w14:textId="6060400E" w:rsidR="00B31569" w:rsidRDefault="00B31569" w:rsidP="00B31569">
      <w:pPr>
        <w:spacing w:after="0"/>
      </w:pPr>
      <w:r>
        <w:t xml:space="preserve">Le </w:t>
      </w:r>
      <w:proofErr w:type="spellStart"/>
      <w:r>
        <w:t>Trastuzumab-deruxtecan</w:t>
      </w:r>
      <w:proofErr w:type="spellEnd"/>
      <w:r>
        <w:t xml:space="preserve"> est un anticorps conjugué comportant un anticorps anti-HER2, un </w:t>
      </w:r>
      <w:proofErr w:type="spellStart"/>
      <w:r>
        <w:t>tetrapeptide</w:t>
      </w:r>
      <w:proofErr w:type="spellEnd"/>
      <w:r>
        <w:t xml:space="preserve"> clivable de lien, et un inhibiteur de topo-isomérase 1. Le </w:t>
      </w:r>
      <w:proofErr w:type="spellStart"/>
      <w:r>
        <w:t>tetrapeptide</w:t>
      </w:r>
      <w:proofErr w:type="spellEnd"/>
      <w:r>
        <w:t xml:space="preserve"> est stable dans le sang mais est clivé après internalisation par des enzymes </w:t>
      </w:r>
      <w:proofErr w:type="spellStart"/>
      <w:r>
        <w:t>lysosomales</w:t>
      </w:r>
      <w:proofErr w:type="spellEnd"/>
      <w:r>
        <w:t xml:space="preserve"> surexprimées dans les cellules cancéreuses. </w:t>
      </w:r>
    </w:p>
    <w:p w14:paraId="24CB3EE9" w14:textId="6DD13901" w:rsidR="00B31569" w:rsidRDefault="00B31569" w:rsidP="00B31569">
      <w:pPr>
        <w:spacing w:after="0"/>
      </w:pPr>
      <w:r>
        <w:t xml:space="preserve">Cette molécule a montré d’excellents résultats dans le cancer du sein HER2 positif en </w:t>
      </w:r>
      <w:proofErr w:type="spellStart"/>
      <w:r>
        <w:t>n-ième</w:t>
      </w:r>
      <w:proofErr w:type="spellEnd"/>
      <w:r>
        <w:t xml:space="preserve"> ligne, et est approuvé comme traitement aux USA et au Japon dans cette indication. </w:t>
      </w:r>
    </w:p>
    <w:p w14:paraId="24392F10" w14:textId="7391104A" w:rsidR="00B31569" w:rsidRDefault="00B31569" w:rsidP="00B31569">
      <w:pPr>
        <w:spacing w:after="0"/>
      </w:pPr>
      <w:r>
        <w:t xml:space="preserve">La molécule </w:t>
      </w:r>
      <w:proofErr w:type="gramStart"/>
      <w:r>
        <w:t>a</w:t>
      </w:r>
      <w:proofErr w:type="gramEnd"/>
      <w:r>
        <w:t xml:space="preserve"> un ratio chimiothérapie-</w:t>
      </w:r>
      <w:r w:rsidRPr="00B31569">
        <w:t xml:space="preserve"> </w:t>
      </w:r>
      <w:r>
        <w:t xml:space="preserve">anticorps à 8 </w:t>
      </w:r>
      <w:r>
        <w:sym w:font="Wingdings" w:char="F0E0"/>
      </w:r>
      <w:r>
        <w:t xml:space="preserve"> Un haut niveau d’expression de HER2 n’est pas nécessaire, ce qui est avantageux dans le cancer gastrique où l’expression d’HER2 est souvent hétérogène.</w:t>
      </w:r>
    </w:p>
    <w:p w14:paraId="40CF380D" w14:textId="77777777" w:rsidR="00B31569" w:rsidRDefault="00B31569" w:rsidP="00B31569">
      <w:pPr>
        <w:spacing w:after="0"/>
      </w:pPr>
    </w:p>
    <w:p w14:paraId="08C31868" w14:textId="77777777" w:rsidR="0006029A" w:rsidRDefault="0006029A" w:rsidP="00B31569">
      <w:pPr>
        <w:spacing w:after="0"/>
      </w:pPr>
    </w:p>
    <w:p w14:paraId="68A63040" w14:textId="77777777" w:rsidR="00B31569" w:rsidRDefault="00B31569" w:rsidP="00B31569">
      <w:pPr>
        <w:spacing w:after="0"/>
      </w:pPr>
      <w:r>
        <w:rPr>
          <w:u w:val="single"/>
        </w:rPr>
        <w:lastRenderedPageBreak/>
        <w:t>Méthode</w:t>
      </w:r>
      <w:r>
        <w:t> :</w:t>
      </w:r>
    </w:p>
    <w:p w14:paraId="4A95E5CF" w14:textId="77777777" w:rsidR="00B31569" w:rsidRDefault="00B31569" w:rsidP="00B31569">
      <w:pPr>
        <w:spacing w:after="0"/>
      </w:pPr>
      <w:r>
        <w:t>Etude de phase 2 multicentrique, randomisée, en double-aveugle, en ouvert.</w:t>
      </w:r>
    </w:p>
    <w:p w14:paraId="739E18E1" w14:textId="77777777" w:rsidR="00B31569" w:rsidRDefault="00B31569" w:rsidP="00B31569">
      <w:pPr>
        <w:spacing w:after="0"/>
      </w:pPr>
      <w:r>
        <w:t xml:space="preserve">Evaluation du </w:t>
      </w:r>
      <w:proofErr w:type="spellStart"/>
      <w:r>
        <w:t>trastuzumab</w:t>
      </w:r>
      <w:proofErr w:type="spellEnd"/>
      <w:r>
        <w:t xml:space="preserve"> </w:t>
      </w:r>
      <w:proofErr w:type="spellStart"/>
      <w:r>
        <w:t>deruxtecan</w:t>
      </w:r>
      <w:proofErr w:type="spellEnd"/>
      <w:r>
        <w:t xml:space="preserve"> vs chimiothérapie chez des patients ayant un ADK gastrique ou de la jonction </w:t>
      </w:r>
      <w:proofErr w:type="spellStart"/>
      <w:r>
        <w:t>oesogastrique</w:t>
      </w:r>
      <w:proofErr w:type="spellEnd"/>
      <w:r>
        <w:t xml:space="preserve"> avancé </w:t>
      </w:r>
      <w:proofErr w:type="spellStart"/>
      <w:r>
        <w:t>surexprimant</w:t>
      </w:r>
      <w:proofErr w:type="spellEnd"/>
      <w:r>
        <w:t xml:space="preserve"> HER2 en progression après au moins 2 lignes de traitement.</w:t>
      </w:r>
    </w:p>
    <w:p w14:paraId="132D520C" w14:textId="77777777" w:rsidR="00B31569" w:rsidRDefault="00B31569" w:rsidP="00B31569">
      <w:pPr>
        <w:spacing w:after="0"/>
      </w:pPr>
      <w:r>
        <w:t>Critères d’inclusion :</w:t>
      </w:r>
    </w:p>
    <w:p w14:paraId="4CB155D3" w14:textId="77777777" w:rsidR="00B31569" w:rsidRDefault="00B31569" w:rsidP="00B31569">
      <w:pPr>
        <w:pStyle w:val="Paragraphedeliste"/>
        <w:numPr>
          <w:ilvl w:val="0"/>
          <w:numId w:val="5"/>
        </w:numPr>
        <w:spacing w:after="0" w:line="256" w:lineRule="auto"/>
      </w:pPr>
      <w:r>
        <w:t xml:space="preserve">ADK gastrique ou jonction </w:t>
      </w:r>
      <w:proofErr w:type="spellStart"/>
      <w:r>
        <w:t>oesogastrique</w:t>
      </w:r>
      <w:proofErr w:type="spellEnd"/>
      <w:r>
        <w:t xml:space="preserve"> localement avancé ou métastatique</w:t>
      </w:r>
    </w:p>
    <w:p w14:paraId="4A3653B9" w14:textId="77777777" w:rsidR="00B31569" w:rsidRDefault="00B31569" w:rsidP="00B31569">
      <w:pPr>
        <w:pStyle w:val="Paragraphedeliste"/>
        <w:numPr>
          <w:ilvl w:val="0"/>
          <w:numId w:val="5"/>
        </w:numPr>
        <w:spacing w:after="0" w:line="256" w:lineRule="auto"/>
      </w:pPr>
      <w:r>
        <w:t xml:space="preserve">Ayant reçu au moins 2 lignes de traitement, comportant un </w:t>
      </w:r>
      <w:proofErr w:type="spellStart"/>
      <w:r>
        <w:t>fluoropyrimidine</w:t>
      </w:r>
      <w:proofErr w:type="spellEnd"/>
      <w:r>
        <w:t xml:space="preserve">, un sel de platine, et du </w:t>
      </w:r>
      <w:proofErr w:type="spellStart"/>
      <w:r>
        <w:t>trastuzumab</w:t>
      </w:r>
      <w:proofErr w:type="spellEnd"/>
      <w:r>
        <w:t>.</w:t>
      </w:r>
    </w:p>
    <w:p w14:paraId="2136B268" w14:textId="77777777" w:rsidR="00B31569" w:rsidRDefault="00B31569" w:rsidP="00B31569">
      <w:pPr>
        <w:pStyle w:val="Paragraphedeliste"/>
        <w:numPr>
          <w:ilvl w:val="0"/>
          <w:numId w:val="5"/>
        </w:numPr>
        <w:spacing w:after="0" w:line="256" w:lineRule="auto"/>
      </w:pPr>
      <w:r>
        <w:t>Age &gt; 20 ans</w:t>
      </w:r>
    </w:p>
    <w:p w14:paraId="4A66FD39" w14:textId="77777777" w:rsidR="00B31569" w:rsidRDefault="00B31569" w:rsidP="00B31569">
      <w:pPr>
        <w:pStyle w:val="Paragraphedeliste"/>
        <w:numPr>
          <w:ilvl w:val="0"/>
          <w:numId w:val="5"/>
        </w:numPr>
        <w:spacing w:after="0" w:line="256" w:lineRule="auto"/>
      </w:pPr>
      <w:r>
        <w:t>ECOG 0-1</w:t>
      </w:r>
    </w:p>
    <w:p w14:paraId="6C0D4B72" w14:textId="77777777" w:rsidR="00B31569" w:rsidRDefault="00B31569" w:rsidP="00B31569">
      <w:pPr>
        <w:spacing w:after="0"/>
      </w:pPr>
      <w:r>
        <w:t>Critères d’exclusion :</w:t>
      </w:r>
    </w:p>
    <w:p w14:paraId="55144927" w14:textId="77777777" w:rsidR="00B31569" w:rsidRDefault="00B31569" w:rsidP="00B31569">
      <w:pPr>
        <w:pStyle w:val="Paragraphedeliste"/>
        <w:numPr>
          <w:ilvl w:val="0"/>
          <w:numId w:val="5"/>
        </w:numPr>
        <w:spacing w:after="0" w:line="256" w:lineRule="auto"/>
      </w:pPr>
      <w:r>
        <w:t xml:space="preserve">Pneumopathie interstitielle </w:t>
      </w:r>
    </w:p>
    <w:p w14:paraId="064736DC" w14:textId="77777777" w:rsidR="00B31569" w:rsidRDefault="00B31569" w:rsidP="00B31569">
      <w:pPr>
        <w:spacing w:after="0"/>
      </w:pPr>
      <w:r>
        <w:t>2 cohortes : maladie avec niveau d’HER2 haut (3+ ou 2+ et FISH+) et bas niveau (2+ et FISH- ou 1+). Cette analyse se concentre sur la 1ere cohorte</w:t>
      </w:r>
    </w:p>
    <w:p w14:paraId="751059A7" w14:textId="77777777" w:rsidR="00B31569" w:rsidRDefault="00B31569" w:rsidP="00B31569">
      <w:pPr>
        <w:spacing w:after="0"/>
      </w:pPr>
      <w:r>
        <w:t>Ratio 2:1</w:t>
      </w:r>
    </w:p>
    <w:p w14:paraId="0F4C63AB" w14:textId="77777777" w:rsidR="00B31569" w:rsidRDefault="00B31569" w:rsidP="00B31569">
      <w:pPr>
        <w:spacing w:after="0"/>
      </w:pPr>
      <w:r>
        <w:t>Stratification sur le pays (Japon ou Corée du Sud), ECOG, statut HER2</w:t>
      </w:r>
    </w:p>
    <w:p w14:paraId="00983E50" w14:textId="77777777" w:rsidR="00B31569" w:rsidRDefault="00B31569" w:rsidP="00B31569">
      <w:pPr>
        <w:spacing w:after="0"/>
      </w:pPr>
      <w:r>
        <w:t>CJP : réponse objective selon RECIST 1.1 (revue centralisée)</w:t>
      </w:r>
    </w:p>
    <w:p w14:paraId="6B9B3676" w14:textId="77777777" w:rsidR="00B31569" w:rsidRDefault="00B31569" w:rsidP="00B31569">
      <w:pPr>
        <w:spacing w:after="0"/>
      </w:pPr>
      <w:r>
        <w:t>CJS : OS, durée de réponse, PFS, réponse confirmée ‘réponse persistante plus de 4 semaines) et tolérance.</w:t>
      </w:r>
    </w:p>
    <w:p w14:paraId="3C853DF0" w14:textId="77777777" w:rsidR="00B31569" w:rsidRDefault="00B31569" w:rsidP="00B31569">
      <w:pPr>
        <w:spacing w:after="0"/>
      </w:pPr>
    </w:p>
    <w:p w14:paraId="5EA5E2CC" w14:textId="77777777" w:rsidR="00B31569" w:rsidRDefault="00B31569" w:rsidP="00B31569">
      <w:pPr>
        <w:spacing w:after="0"/>
      </w:pPr>
      <w:r>
        <w:rPr>
          <w:u w:val="single"/>
        </w:rPr>
        <w:t>Résultats</w:t>
      </w:r>
      <w:r>
        <w:t> :</w:t>
      </w:r>
    </w:p>
    <w:p w14:paraId="1CFA984F" w14:textId="77777777" w:rsidR="00B31569" w:rsidRDefault="00B31569" w:rsidP="00B31569">
      <w:pPr>
        <w:spacing w:after="0"/>
      </w:pPr>
      <w:r>
        <w:t xml:space="preserve">187 patients traités : 125 bras </w:t>
      </w:r>
      <w:proofErr w:type="spellStart"/>
      <w:r>
        <w:t>trastuzumab</w:t>
      </w:r>
      <w:proofErr w:type="spellEnd"/>
      <w:r>
        <w:t xml:space="preserve"> </w:t>
      </w:r>
      <w:proofErr w:type="spellStart"/>
      <w:r>
        <w:t>deruxtecan</w:t>
      </w:r>
      <w:proofErr w:type="spellEnd"/>
      <w:r>
        <w:t xml:space="preserve">, 62 bras chimiothérapie (55 </w:t>
      </w:r>
      <w:proofErr w:type="spellStart"/>
      <w:r>
        <w:t>irinotecan</w:t>
      </w:r>
      <w:proofErr w:type="spellEnd"/>
      <w:r>
        <w:t xml:space="preserve">, 7 </w:t>
      </w:r>
      <w:proofErr w:type="spellStart"/>
      <w:r>
        <w:t>paclitaxel</w:t>
      </w:r>
      <w:proofErr w:type="spellEnd"/>
      <w:r>
        <w:t>).</w:t>
      </w:r>
    </w:p>
    <w:p w14:paraId="54B1CD43" w14:textId="77777777" w:rsidR="00B31569" w:rsidRDefault="00B31569" w:rsidP="00B31569">
      <w:pPr>
        <w:spacing w:after="0"/>
      </w:pPr>
      <w:r>
        <w:t>Médiane de 2 traitements avant la randomisation (2 à 9)</w:t>
      </w:r>
    </w:p>
    <w:p w14:paraId="441C76E1" w14:textId="4AB6F7E4" w:rsidR="00B31569" w:rsidRDefault="00B31569" w:rsidP="00B31569">
      <w:pPr>
        <w:spacing w:after="0"/>
      </w:pPr>
      <w:r>
        <w:t xml:space="preserve">Réponse objective chez 51% des patients du bras </w:t>
      </w:r>
      <w:proofErr w:type="spellStart"/>
      <w:r>
        <w:t>trastuzumab</w:t>
      </w:r>
      <w:proofErr w:type="spellEnd"/>
      <w:r>
        <w:t xml:space="preserve"> </w:t>
      </w:r>
      <w:proofErr w:type="spellStart"/>
      <w:r>
        <w:t>deruxtecan</w:t>
      </w:r>
      <w:proofErr w:type="spellEnd"/>
      <w:r>
        <w:t>, vs 14% dans le bras chimiothérapie (p&lt;0,001). Réponse confirmée objective 43% v</w:t>
      </w:r>
      <w:r w:rsidR="0006029A">
        <w:t xml:space="preserve">s 12%, dont 10 patients avec RC </w:t>
      </w:r>
      <w:r>
        <w:t xml:space="preserve">objective dans le bras </w:t>
      </w:r>
      <w:proofErr w:type="spellStart"/>
      <w:r>
        <w:t>trastuzumab</w:t>
      </w:r>
      <w:proofErr w:type="spellEnd"/>
      <w:r>
        <w:t xml:space="preserve"> </w:t>
      </w:r>
      <w:proofErr w:type="spellStart"/>
      <w:r>
        <w:t>deruxtecan</w:t>
      </w:r>
      <w:proofErr w:type="spellEnd"/>
      <w:r>
        <w:t>.</w:t>
      </w:r>
    </w:p>
    <w:p w14:paraId="13097307" w14:textId="77777777" w:rsidR="00B31569" w:rsidRDefault="00B31569" w:rsidP="00B31569">
      <w:pPr>
        <w:spacing w:after="0"/>
      </w:pPr>
      <w:r>
        <w:t>Durée médiane de réponse de 11.3 mois vs 3.9 mois.</w:t>
      </w:r>
    </w:p>
    <w:p w14:paraId="6C8E8C7C" w14:textId="162D5739" w:rsidR="00B31569" w:rsidRPr="0006029A" w:rsidRDefault="00B31569" w:rsidP="00B31569">
      <w:pPr>
        <w:spacing w:after="0"/>
        <w:rPr>
          <w:color w:val="000000" w:themeColor="text1"/>
          <w:shd w:val="clear" w:color="auto" w:fill="FFFFFF"/>
        </w:rPr>
      </w:pPr>
      <w:r w:rsidRPr="0006029A">
        <w:t xml:space="preserve">OS plus longue dans le bras </w:t>
      </w:r>
      <w:proofErr w:type="spellStart"/>
      <w:r w:rsidRPr="0006029A">
        <w:t>trastuzumab</w:t>
      </w:r>
      <w:proofErr w:type="spellEnd"/>
      <w:r w:rsidRPr="0006029A">
        <w:t xml:space="preserve"> </w:t>
      </w:r>
      <w:proofErr w:type="spellStart"/>
      <w:r w:rsidRPr="0006029A">
        <w:t>deruxtecan</w:t>
      </w:r>
      <w:proofErr w:type="spellEnd"/>
      <w:r w:rsidRPr="0006029A">
        <w:rPr>
          <w:color w:val="4D4D4D"/>
          <w:sz w:val="26"/>
          <w:szCs w:val="26"/>
          <w:shd w:val="clear" w:color="auto" w:fill="FFFFFF"/>
        </w:rPr>
        <w:t> </w:t>
      </w:r>
      <w:r w:rsidRPr="0006029A">
        <w:rPr>
          <w:color w:val="000000" w:themeColor="text1"/>
          <w:shd w:val="clear" w:color="auto" w:fill="FFFFFF"/>
        </w:rPr>
        <w:t>(</w:t>
      </w:r>
      <w:proofErr w:type="spellStart"/>
      <w:r w:rsidRPr="0006029A">
        <w:rPr>
          <w:color w:val="000000" w:themeColor="text1"/>
          <w:shd w:val="clear" w:color="auto" w:fill="FFFFFF"/>
        </w:rPr>
        <w:t>median</w:t>
      </w:r>
      <w:proofErr w:type="spellEnd"/>
      <w:r w:rsidRPr="0006029A">
        <w:rPr>
          <w:color w:val="000000" w:themeColor="text1"/>
          <w:shd w:val="clear" w:color="auto" w:fill="FFFFFF"/>
        </w:rPr>
        <w:t xml:space="preserve">, 12.5 vs. 8.4 </w:t>
      </w:r>
      <w:proofErr w:type="spellStart"/>
      <w:r w:rsidRPr="0006029A">
        <w:rPr>
          <w:color w:val="000000" w:themeColor="text1"/>
          <w:shd w:val="clear" w:color="auto" w:fill="FFFFFF"/>
        </w:rPr>
        <w:t>months</w:t>
      </w:r>
      <w:proofErr w:type="spellEnd"/>
      <w:r w:rsidRPr="0006029A">
        <w:rPr>
          <w:color w:val="000000" w:themeColor="text1"/>
          <w:shd w:val="clear" w:color="auto" w:fill="FFFFFF"/>
        </w:rPr>
        <w:t xml:space="preserve">; </w:t>
      </w:r>
      <w:r w:rsidR="0006029A" w:rsidRPr="0006029A">
        <w:rPr>
          <w:color w:val="000000" w:themeColor="text1"/>
          <w:shd w:val="clear" w:color="auto" w:fill="FFFFFF"/>
        </w:rPr>
        <w:t>HR</w:t>
      </w:r>
      <w:r w:rsidRPr="0006029A">
        <w:rPr>
          <w:color w:val="000000" w:themeColor="text1"/>
          <w:shd w:val="clear" w:color="auto" w:fill="FFFFFF"/>
        </w:rPr>
        <w:t xml:space="preserve"> 0.59; 95% </w:t>
      </w:r>
      <w:r w:rsidR="0006029A" w:rsidRPr="0006029A">
        <w:rPr>
          <w:color w:val="000000" w:themeColor="text1"/>
          <w:shd w:val="clear" w:color="auto" w:fill="FFFFFF"/>
        </w:rPr>
        <w:t>CI, 0.39 à</w:t>
      </w:r>
      <w:r w:rsidRPr="0006029A">
        <w:rPr>
          <w:color w:val="000000" w:themeColor="text1"/>
          <w:shd w:val="clear" w:color="auto" w:fill="FFFFFF"/>
        </w:rPr>
        <w:t xml:space="preserve"> 0.88; P=0.01)</w:t>
      </w:r>
    </w:p>
    <w:p w14:paraId="33B0730C" w14:textId="77777777" w:rsidR="00B31569" w:rsidRPr="0006029A" w:rsidRDefault="00B31569" w:rsidP="00B31569">
      <w:pPr>
        <w:spacing w:after="0"/>
        <w:rPr>
          <w:color w:val="000000" w:themeColor="text1"/>
          <w:shd w:val="clear" w:color="auto" w:fill="FFFFFF"/>
        </w:rPr>
      </w:pPr>
      <w:r w:rsidRPr="0006029A">
        <w:rPr>
          <w:color w:val="000000" w:themeColor="text1"/>
          <w:shd w:val="clear" w:color="auto" w:fill="FFFFFF"/>
        </w:rPr>
        <w:t>OS à 6 mois : 80% vs 66%, OS à 1 an : 52% vs 29%</w:t>
      </w:r>
    </w:p>
    <w:p w14:paraId="133A72E5" w14:textId="77777777" w:rsidR="00B31569" w:rsidRPr="0006029A" w:rsidRDefault="00B31569" w:rsidP="00B31569">
      <w:pPr>
        <w:spacing w:after="0"/>
        <w:rPr>
          <w:color w:val="000000" w:themeColor="text1"/>
          <w:shd w:val="clear" w:color="auto" w:fill="FFFFFF"/>
        </w:rPr>
      </w:pPr>
      <w:r w:rsidRPr="0006029A">
        <w:rPr>
          <w:color w:val="000000" w:themeColor="text1"/>
          <w:shd w:val="clear" w:color="auto" w:fill="FFFFFF"/>
        </w:rPr>
        <w:t>PFS 5,6 mois vs 3,5 mois.</w:t>
      </w:r>
    </w:p>
    <w:p w14:paraId="05B1B4AE" w14:textId="77777777" w:rsidR="0006029A" w:rsidRDefault="0006029A" w:rsidP="00B31569">
      <w:pPr>
        <w:spacing w:after="0"/>
        <w:rPr>
          <w:color w:val="000000" w:themeColor="text1"/>
          <w:shd w:val="clear" w:color="auto" w:fill="FFFFFF"/>
        </w:rPr>
      </w:pPr>
      <w:r>
        <w:rPr>
          <w:color w:val="000000" w:themeColor="text1"/>
          <w:shd w:val="clear" w:color="auto" w:fill="FFFFFF"/>
        </w:rPr>
        <w:t>Tolérance : Effets secondaires</w:t>
      </w:r>
      <w:r w:rsidR="00B31569" w:rsidRPr="0006029A">
        <w:rPr>
          <w:color w:val="000000" w:themeColor="text1"/>
          <w:shd w:val="clear" w:color="auto" w:fill="FFFFFF"/>
        </w:rPr>
        <w:t xml:space="preserve"> les plus fréquents : cytopénies avec neutropénie (51% pour le </w:t>
      </w:r>
      <w:proofErr w:type="spellStart"/>
      <w:r w:rsidR="00B31569" w:rsidRPr="0006029A">
        <w:rPr>
          <w:color w:val="000000" w:themeColor="text1"/>
          <w:shd w:val="clear" w:color="auto" w:fill="FFFFFF"/>
        </w:rPr>
        <w:t>trastuzumab</w:t>
      </w:r>
      <w:proofErr w:type="spellEnd"/>
      <w:r w:rsidR="00B31569" w:rsidRPr="0006029A">
        <w:rPr>
          <w:color w:val="000000" w:themeColor="text1"/>
          <w:shd w:val="clear" w:color="auto" w:fill="FFFFFF"/>
        </w:rPr>
        <w:t xml:space="preserve"> </w:t>
      </w:r>
      <w:proofErr w:type="spellStart"/>
      <w:r w:rsidR="00B31569" w:rsidRPr="0006029A">
        <w:rPr>
          <w:color w:val="000000" w:themeColor="text1"/>
          <w:shd w:val="clear" w:color="auto" w:fill="FFFFFF"/>
        </w:rPr>
        <w:t>deruxtecan</w:t>
      </w:r>
      <w:proofErr w:type="spellEnd"/>
      <w:r w:rsidR="00B31569" w:rsidRPr="0006029A">
        <w:rPr>
          <w:color w:val="000000" w:themeColor="text1"/>
          <w:shd w:val="clear" w:color="auto" w:fill="FFFFFF"/>
        </w:rPr>
        <w:t xml:space="preserve">, 24% dans le bras CT), anémie (38% et 23% respectivement), leucopénie (21% et 11% respectivement). </w:t>
      </w:r>
    </w:p>
    <w:p w14:paraId="4456855F" w14:textId="140D96EC" w:rsidR="00B31569" w:rsidRPr="0006029A" w:rsidRDefault="00B31569" w:rsidP="00B31569">
      <w:pPr>
        <w:spacing w:after="0"/>
        <w:rPr>
          <w:color w:val="000000" w:themeColor="text1"/>
          <w:shd w:val="clear" w:color="auto" w:fill="FFFFFF"/>
        </w:rPr>
      </w:pPr>
      <w:r w:rsidRPr="0006029A">
        <w:rPr>
          <w:color w:val="000000" w:themeColor="text1"/>
          <w:shd w:val="clear" w:color="auto" w:fill="FFFFFF"/>
        </w:rPr>
        <w:t>A noter</w:t>
      </w:r>
      <w:r w:rsidR="0006029A">
        <w:rPr>
          <w:color w:val="000000" w:themeColor="text1"/>
          <w:shd w:val="clear" w:color="auto" w:fill="FFFFFF"/>
        </w:rPr>
        <w:t xml:space="preserve"> : </w:t>
      </w:r>
      <w:r w:rsidRPr="0006029A">
        <w:rPr>
          <w:color w:val="000000" w:themeColor="text1"/>
          <w:shd w:val="clear" w:color="auto" w:fill="FFFFFF"/>
        </w:rPr>
        <w:t xml:space="preserve">12 pneumopathies interstitielles dans le bras </w:t>
      </w:r>
      <w:proofErr w:type="spellStart"/>
      <w:r w:rsidRPr="0006029A">
        <w:rPr>
          <w:color w:val="000000" w:themeColor="text1"/>
          <w:shd w:val="clear" w:color="auto" w:fill="FFFFFF"/>
        </w:rPr>
        <w:t>trastuzumab</w:t>
      </w:r>
      <w:proofErr w:type="spellEnd"/>
      <w:r w:rsidRPr="0006029A">
        <w:rPr>
          <w:color w:val="000000" w:themeColor="text1"/>
          <w:shd w:val="clear" w:color="auto" w:fill="FFFFFF"/>
        </w:rPr>
        <w:t xml:space="preserve"> </w:t>
      </w:r>
      <w:proofErr w:type="spellStart"/>
      <w:r w:rsidRPr="0006029A">
        <w:rPr>
          <w:color w:val="000000" w:themeColor="text1"/>
          <w:shd w:val="clear" w:color="auto" w:fill="FFFFFF"/>
        </w:rPr>
        <w:t>deruxtecan</w:t>
      </w:r>
      <w:proofErr w:type="spellEnd"/>
      <w:r w:rsidRPr="0006029A">
        <w:rPr>
          <w:color w:val="000000" w:themeColor="text1"/>
          <w:shd w:val="clear" w:color="auto" w:fill="FFFFFF"/>
        </w:rPr>
        <w:t xml:space="preserve"> (grade 1 ou 2 chez 9 patients, 3 ou 4 chez 3), dont 1 décès !</w:t>
      </w:r>
    </w:p>
    <w:p w14:paraId="4647609B" w14:textId="77777777" w:rsidR="00B31569" w:rsidRPr="0006029A" w:rsidRDefault="00B31569" w:rsidP="00B31569">
      <w:pPr>
        <w:spacing w:after="0"/>
        <w:rPr>
          <w:color w:val="000000" w:themeColor="text1"/>
          <w:shd w:val="clear" w:color="auto" w:fill="FFFFFF"/>
        </w:rPr>
      </w:pPr>
    </w:p>
    <w:p w14:paraId="3B520502" w14:textId="77777777" w:rsidR="00B31569" w:rsidRPr="0006029A" w:rsidRDefault="00B31569" w:rsidP="00B31569">
      <w:pPr>
        <w:spacing w:after="0"/>
        <w:rPr>
          <w:color w:val="000000" w:themeColor="text1"/>
          <w:shd w:val="clear" w:color="auto" w:fill="FFFFFF"/>
        </w:rPr>
      </w:pPr>
      <w:r w:rsidRPr="0006029A">
        <w:rPr>
          <w:color w:val="000000" w:themeColor="text1"/>
          <w:u w:val="single"/>
          <w:shd w:val="clear" w:color="auto" w:fill="FFFFFF"/>
        </w:rPr>
        <w:t>Conclusion/discussion</w:t>
      </w:r>
      <w:r w:rsidRPr="0006029A">
        <w:rPr>
          <w:color w:val="000000" w:themeColor="text1"/>
          <w:shd w:val="clear" w:color="auto" w:fill="FFFFFF"/>
        </w:rPr>
        <w:t> :</w:t>
      </w:r>
    </w:p>
    <w:p w14:paraId="5496EA61" w14:textId="156E97FD" w:rsidR="00B31569" w:rsidRPr="0006029A" w:rsidRDefault="0006029A" w:rsidP="00B31569">
      <w:pPr>
        <w:spacing w:after="0"/>
        <w:rPr>
          <w:color w:val="000000" w:themeColor="text1"/>
          <w:shd w:val="clear" w:color="auto" w:fill="FFFFFF"/>
        </w:rPr>
      </w:pPr>
      <w:r>
        <w:rPr>
          <w:color w:val="000000" w:themeColor="text1"/>
          <w:shd w:val="clear" w:color="auto" w:fill="FFFFFF"/>
        </w:rPr>
        <w:t>Traitement très prometteur avec une b</w:t>
      </w:r>
      <w:r w:rsidR="00B31569" w:rsidRPr="0006029A">
        <w:rPr>
          <w:color w:val="000000" w:themeColor="text1"/>
          <w:shd w:val="clear" w:color="auto" w:fill="FFFFFF"/>
        </w:rPr>
        <w:t>elle réponse objective et prolongée.</w:t>
      </w:r>
    </w:p>
    <w:p w14:paraId="3CAA5E1C" w14:textId="4EC99083" w:rsidR="00B31569" w:rsidRPr="0006029A" w:rsidRDefault="00B31569" w:rsidP="00B31569">
      <w:pPr>
        <w:spacing w:after="0"/>
        <w:rPr>
          <w:color w:val="000000" w:themeColor="text1"/>
          <w:shd w:val="clear" w:color="auto" w:fill="FFFFFF"/>
        </w:rPr>
      </w:pPr>
      <w:r w:rsidRPr="0006029A">
        <w:rPr>
          <w:color w:val="000000" w:themeColor="text1"/>
          <w:shd w:val="clear" w:color="auto" w:fill="FFFFFF"/>
        </w:rPr>
        <w:t xml:space="preserve">Contrairement aux cancers du sein HER2, hormis en 1ere ligne, les inhibiteurs HER2 n’ont jusqu’ici pas montré de bénéfice (pas d’efficacité du </w:t>
      </w:r>
      <w:proofErr w:type="spellStart"/>
      <w:r w:rsidRPr="0006029A">
        <w:rPr>
          <w:color w:val="000000" w:themeColor="text1"/>
          <w:shd w:val="clear" w:color="auto" w:fill="FFFFFF"/>
        </w:rPr>
        <w:t>trastu</w:t>
      </w:r>
      <w:r w:rsidR="0006029A">
        <w:rPr>
          <w:color w:val="000000" w:themeColor="text1"/>
          <w:shd w:val="clear" w:color="auto" w:fill="FFFFFF"/>
        </w:rPr>
        <w:t>zumab</w:t>
      </w:r>
      <w:proofErr w:type="spellEnd"/>
      <w:r w:rsidRPr="0006029A">
        <w:rPr>
          <w:color w:val="000000" w:themeColor="text1"/>
          <w:shd w:val="clear" w:color="auto" w:fill="FFFFFF"/>
        </w:rPr>
        <w:t xml:space="preserve"> en association en 2</w:t>
      </w:r>
      <w:r w:rsidRPr="0006029A">
        <w:rPr>
          <w:color w:val="000000" w:themeColor="text1"/>
          <w:shd w:val="clear" w:color="auto" w:fill="FFFFFF"/>
          <w:vertAlign w:val="superscript"/>
        </w:rPr>
        <w:t>e</w:t>
      </w:r>
      <w:r w:rsidRPr="0006029A">
        <w:rPr>
          <w:color w:val="000000" w:themeColor="text1"/>
          <w:shd w:val="clear" w:color="auto" w:fill="FFFFFF"/>
        </w:rPr>
        <w:t xml:space="preserve"> ligne, pas d’efficacité du </w:t>
      </w:r>
      <w:proofErr w:type="spellStart"/>
      <w:r w:rsidRPr="0006029A">
        <w:rPr>
          <w:color w:val="000000" w:themeColor="text1"/>
          <w:shd w:val="clear" w:color="auto" w:fill="FFFFFF"/>
        </w:rPr>
        <w:t>pertuzumab</w:t>
      </w:r>
      <w:proofErr w:type="spellEnd"/>
      <w:r w:rsidRPr="0006029A">
        <w:rPr>
          <w:color w:val="000000" w:themeColor="text1"/>
          <w:shd w:val="clear" w:color="auto" w:fill="FFFFFF"/>
        </w:rPr>
        <w:t xml:space="preserve"> ni du TDM1). </w:t>
      </w:r>
    </w:p>
    <w:p w14:paraId="5948D6C5" w14:textId="25B9D5FF" w:rsidR="00A34CA4" w:rsidRPr="00021681" w:rsidRDefault="0006029A" w:rsidP="00744156">
      <w:pPr>
        <w:rPr>
          <w:b/>
        </w:rPr>
      </w:pPr>
      <w:r>
        <w:rPr>
          <w:color w:val="000000" w:themeColor="text1"/>
          <w:shd w:val="clear" w:color="auto" w:fill="FFFFFF"/>
        </w:rPr>
        <w:t xml:space="preserve">Une attention particulière sera à porter sur la toxicité pulmonaire du traitement. </w:t>
      </w:r>
    </w:p>
    <w:p w14:paraId="5A6423D9" w14:textId="1BC82246" w:rsidR="00E26E40" w:rsidRDefault="00BB6CC7" w:rsidP="00BB6CC7">
      <w:pPr>
        <w:rPr>
          <w:b/>
        </w:rPr>
      </w:pPr>
      <w:r>
        <w:rPr>
          <w:b/>
        </w:rPr>
        <w:lastRenderedPageBreak/>
        <w:t xml:space="preserve">Adrien : </w:t>
      </w:r>
      <w:r w:rsidR="00B810CF">
        <w:rPr>
          <w:b/>
        </w:rPr>
        <w:t>JAMA</w:t>
      </w:r>
    </w:p>
    <w:p w14:paraId="7CC92B6F" w14:textId="6BEDD80A" w:rsidR="001B64A4" w:rsidRPr="00330087" w:rsidRDefault="001B64A4" w:rsidP="001B64A4">
      <w:pPr>
        <w:rPr>
          <w:b/>
          <w:lang w:val="en-US"/>
        </w:rPr>
      </w:pPr>
      <w:proofErr w:type="gramStart"/>
      <w:r w:rsidRPr="001B64A4">
        <w:rPr>
          <w:b/>
          <w:u w:val="single"/>
          <w:lang w:val="en-US"/>
        </w:rPr>
        <w:t>Evaluation of First-line Radiosurgery vs Whole-Brain Radiotherapy for Small Cell Lung Cancer Brain Metastases.</w:t>
      </w:r>
      <w:proofErr w:type="gramEnd"/>
      <w:r w:rsidRPr="001B64A4">
        <w:rPr>
          <w:b/>
          <w:u w:val="single"/>
          <w:lang w:val="en-US"/>
        </w:rPr>
        <w:t xml:space="preserve"> </w:t>
      </w:r>
      <w:proofErr w:type="gramStart"/>
      <w:r w:rsidRPr="00330087">
        <w:rPr>
          <w:b/>
          <w:u w:val="single"/>
          <w:lang w:val="en-US"/>
        </w:rPr>
        <w:t>The FIRE-SCLC Cohort Study</w:t>
      </w:r>
      <w:r w:rsidRPr="00330087">
        <w:rPr>
          <w:u w:val="single"/>
          <w:lang w:val="en-US"/>
        </w:rPr>
        <w:t>.</w:t>
      </w:r>
      <w:proofErr w:type="gramEnd"/>
      <w:r w:rsidRPr="00330087">
        <w:rPr>
          <w:lang w:val="en-US"/>
        </w:rPr>
        <w:t xml:space="preserve"> </w:t>
      </w:r>
      <w:proofErr w:type="spellStart"/>
      <w:r w:rsidRPr="00330087">
        <w:rPr>
          <w:b/>
          <w:lang w:val="en-US"/>
        </w:rPr>
        <w:t>Rusthoven</w:t>
      </w:r>
      <w:proofErr w:type="spellEnd"/>
      <w:r w:rsidRPr="00330087">
        <w:rPr>
          <w:b/>
          <w:lang w:val="en-US"/>
        </w:rPr>
        <w:t xml:space="preserve"> et al</w:t>
      </w:r>
    </w:p>
    <w:p w14:paraId="6B7AEE0E" w14:textId="77777777" w:rsidR="001B64A4" w:rsidRDefault="001B64A4" w:rsidP="001B64A4">
      <w:pPr>
        <w:spacing w:after="0"/>
      </w:pPr>
      <w:r>
        <w:t xml:space="preserve">Dans de nombreux essais, radiothérapie </w:t>
      </w:r>
      <w:proofErr w:type="spellStart"/>
      <w:r>
        <w:t>stérotaxique</w:t>
      </w:r>
      <w:proofErr w:type="spellEnd"/>
      <w:r>
        <w:t xml:space="preserve"> est bien établie pour le traitement des métastases cérébrales. Bien que l’encéphale in toto procure un meilleur contrôle local, la survie est similaire avec la stéréotaxie. La meilleure tolérance de cette dernière l’a imposée comme une technique de choix. Mais les carcinomes bronchiques </w:t>
      </w:r>
      <w:proofErr w:type="gramStart"/>
      <w:r>
        <w:t>a</w:t>
      </w:r>
      <w:proofErr w:type="gramEnd"/>
      <w:r>
        <w:t xml:space="preserve"> petite cellule étaient exclu des essais, et l’encéphale in toto reste la technique de prédilection dans ce domaine.</w:t>
      </w:r>
    </w:p>
    <w:p w14:paraId="5FC4F242" w14:textId="77777777" w:rsidR="001B64A4" w:rsidRDefault="001B64A4" w:rsidP="001B64A4">
      <w:pPr>
        <w:spacing w:after="0"/>
      </w:pPr>
      <w:r>
        <w:t>Etude de cohorte, multicentrique, rétrospective, regroupant des CBPC traités par stéréotaxie, sans irradiation cérébrale préalable. Comparaison avec une cohorte historique de patients traités par encéphale in toto en première ligne.</w:t>
      </w:r>
    </w:p>
    <w:p w14:paraId="218EB83A" w14:textId="77777777" w:rsidR="001B64A4" w:rsidRDefault="001B64A4" w:rsidP="001B64A4">
      <w:pPr>
        <w:spacing w:after="0"/>
      </w:pPr>
      <w:r>
        <w:t xml:space="preserve">710 patients entre 1994 et 2018 ont reçus de la stéréo en première ligne. Principalement des hommes de plus de 65 ans en très bon état général. La survie médiane était de 8,7 mois, 11 mois si une métastase unique. Les facteurs associés avec une meilleure survie </w:t>
      </w:r>
      <w:proofErr w:type="gramStart"/>
      <w:r>
        <w:t>était</w:t>
      </w:r>
      <w:proofErr w:type="gramEnd"/>
      <w:r>
        <w:t xml:space="preserve"> un meilleur score de </w:t>
      </w:r>
      <w:proofErr w:type="spellStart"/>
      <w:r>
        <w:t>Karnosky</w:t>
      </w:r>
      <w:proofErr w:type="spellEnd"/>
      <w:r>
        <w:t xml:space="preserve">, peu de métastases cérébrales, des métastases synchrones, un âge jeune, le sexe féminin, et une année de traitement récente. </w:t>
      </w:r>
    </w:p>
    <w:p w14:paraId="7B3E5246" w14:textId="77777777" w:rsidR="001B64A4" w:rsidRDefault="001B64A4" w:rsidP="001B64A4">
      <w:pPr>
        <w:spacing w:after="0"/>
      </w:pPr>
      <w:r>
        <w:t xml:space="preserve">La survie médiane sans progression neurologique était de 8,1 mois. </w:t>
      </w:r>
    </w:p>
    <w:p w14:paraId="20E73307" w14:textId="77777777" w:rsidR="001B64A4" w:rsidRDefault="001B64A4" w:rsidP="001B64A4">
      <w:pPr>
        <w:spacing w:after="0"/>
      </w:pPr>
      <w:r>
        <w:t>Il y avait 5% de radionécrose et pas de décès toxique. 33% des patients ont eu une stéréo de rattrapage, et 16,1% un encéphale in toto de rattrapage. La mortalité neurologique était de 12,4%.</w:t>
      </w:r>
    </w:p>
    <w:p w14:paraId="609D6716" w14:textId="77777777" w:rsidR="001B64A4" w:rsidRDefault="001B64A4" w:rsidP="001B64A4">
      <w:pPr>
        <w:spacing w:after="0"/>
      </w:pPr>
    </w:p>
    <w:p w14:paraId="0409CC36" w14:textId="77777777" w:rsidR="001B64A4" w:rsidRDefault="001B64A4" w:rsidP="001B64A4">
      <w:pPr>
        <w:spacing w:after="0"/>
      </w:pPr>
      <w:r>
        <w:t xml:space="preserve">La cohorte de comparaison comportait 219 patients, traités entre 2003 et 2015. Ils avaient un plus mauvais état général, plus de métastases cérébrales, un </w:t>
      </w:r>
      <w:proofErr w:type="spellStart"/>
      <w:r>
        <w:t>age</w:t>
      </w:r>
      <w:proofErr w:type="spellEnd"/>
      <w:r>
        <w:t xml:space="preserve"> plus jeune, et des traitements plus récents. </w:t>
      </w:r>
    </w:p>
    <w:p w14:paraId="42340A01" w14:textId="06EBDF9B" w:rsidR="001B64A4" w:rsidRDefault="001B64A4" w:rsidP="001B64A4">
      <w:pPr>
        <w:spacing w:after="0"/>
      </w:pPr>
      <w:r>
        <w:t xml:space="preserve">En analyse multivariée, il y avait un bénéfice en OS de la stéréotaxie (8,5 vs 5,2 mois). Le contrôle local, en multivarié, était meilleure avec l’encéphale in toto. </w:t>
      </w:r>
    </w:p>
    <w:p w14:paraId="61709D7B" w14:textId="77777777" w:rsidR="001B64A4" w:rsidRDefault="001B64A4" w:rsidP="001B64A4">
      <w:pPr>
        <w:spacing w:after="0"/>
      </w:pPr>
      <w:r>
        <w:t>Une analyse appariée sur 187 patients dans chaque groupe, sur différentes caractéristiques, retrouvait un bénéfice plus modéré mais toujours significatif pour la stéréotaxie (6,5 vs 5,2 mois).</w:t>
      </w:r>
    </w:p>
    <w:p w14:paraId="38565EB6" w14:textId="77777777" w:rsidR="001B64A4" w:rsidRDefault="001B64A4" w:rsidP="001B64A4">
      <w:pPr>
        <w:spacing w:after="0"/>
      </w:pPr>
    </w:p>
    <w:p w14:paraId="647C3C97" w14:textId="77777777" w:rsidR="001B64A4" w:rsidRDefault="001B64A4" w:rsidP="001B64A4">
      <w:pPr>
        <w:spacing w:after="0"/>
      </w:pPr>
      <w:r>
        <w:t>Cette étude présente le défaut d’avoir un caractère rétrospectif, de ne pas avoir de groupe contrôle. La cohorte historique présente des caractéristiques pronostiques défavorables par rapport à la cohorte stéréo. De plus, la large étendue temporelle provoque une hétérogénéité des techniques utilisées, ce qui se traduit par une meilleure survie des patients ayant eu des stéréos récents notamment.</w:t>
      </w:r>
    </w:p>
    <w:p w14:paraId="0D2D49D8" w14:textId="77777777" w:rsidR="001B64A4" w:rsidRDefault="001B64A4" w:rsidP="001B64A4">
      <w:pPr>
        <w:spacing w:after="0"/>
      </w:pPr>
      <w:r>
        <w:t>Pour autant, il s’agit d’une large population, dont les données sont rassurantes et en accord avec celles des autres localisations sur les traitements des métastases cérébrales par stéréotaxie.</w:t>
      </w:r>
    </w:p>
    <w:p w14:paraId="0C4EF6B4" w14:textId="77777777" w:rsidR="001B64A4" w:rsidRDefault="001B64A4" w:rsidP="00BB6CC7">
      <w:pPr>
        <w:rPr>
          <w:b/>
        </w:rPr>
      </w:pPr>
    </w:p>
    <w:p w14:paraId="53560067" w14:textId="42CD7E39" w:rsidR="00BB6CC7" w:rsidRDefault="00BB6CC7" w:rsidP="00BB6CC7"/>
    <w:p w14:paraId="65535A65" w14:textId="77777777" w:rsidR="0006029A" w:rsidRDefault="0006029A" w:rsidP="00BB6CC7"/>
    <w:p w14:paraId="49BFCED3" w14:textId="77777777" w:rsidR="0006029A" w:rsidRDefault="0006029A" w:rsidP="00BB6CC7"/>
    <w:p w14:paraId="07992BFD" w14:textId="77777777" w:rsidR="00902CC1" w:rsidRDefault="00902CC1" w:rsidP="00902CC1"/>
    <w:p w14:paraId="0A6CA8E0" w14:textId="4CF5AA75" w:rsidR="00902CC1" w:rsidRDefault="00902CC1" w:rsidP="00902CC1">
      <w:pPr>
        <w:spacing w:after="0"/>
        <w:rPr>
          <w:b/>
          <w:lang w:val="en-US"/>
        </w:rPr>
      </w:pPr>
      <w:proofErr w:type="gramStart"/>
      <w:r>
        <w:rPr>
          <w:b/>
          <w:lang w:val="en-US"/>
        </w:rPr>
        <w:lastRenderedPageBreak/>
        <w:t>Pauline :</w:t>
      </w:r>
      <w:proofErr w:type="gramEnd"/>
      <w:r>
        <w:rPr>
          <w:b/>
          <w:lang w:val="en-US"/>
        </w:rPr>
        <w:t xml:space="preserve"> Journal of Clinical Oncology (JCO)</w:t>
      </w:r>
    </w:p>
    <w:p w14:paraId="0597534C" w14:textId="77777777" w:rsidR="00902CC1" w:rsidRDefault="00902CC1" w:rsidP="00902CC1">
      <w:pPr>
        <w:spacing w:after="0"/>
        <w:ind w:firstLine="708"/>
        <w:jc w:val="both"/>
        <w:rPr>
          <w:b/>
          <w:u w:val="single"/>
          <w:lang w:val="en-US"/>
        </w:rPr>
      </w:pPr>
      <w:r>
        <w:rPr>
          <w:b/>
          <w:u w:val="single"/>
          <w:lang w:val="en-US"/>
        </w:rPr>
        <w:t>Palma et al. Stereotactic Ablative Radiotherapy for the Comprehensive Treatment of</w:t>
      </w:r>
    </w:p>
    <w:p w14:paraId="19634DBF" w14:textId="77777777" w:rsidR="00902CC1" w:rsidRDefault="00902CC1" w:rsidP="00902CC1">
      <w:pPr>
        <w:spacing w:after="0"/>
        <w:jc w:val="both"/>
        <w:rPr>
          <w:b/>
          <w:u w:val="single"/>
          <w:lang w:val="en-US"/>
        </w:rPr>
      </w:pPr>
      <w:proofErr w:type="spellStart"/>
      <w:r>
        <w:rPr>
          <w:b/>
          <w:u w:val="single"/>
          <w:lang w:val="en-US"/>
        </w:rPr>
        <w:t>Oligometastatic</w:t>
      </w:r>
      <w:proofErr w:type="spellEnd"/>
      <w:r>
        <w:rPr>
          <w:b/>
          <w:u w:val="single"/>
          <w:lang w:val="en-US"/>
        </w:rPr>
        <w:t xml:space="preserve"> Cancers: Long-Term Results of the SABR-COMET Phase II Randomized Trial</w:t>
      </w:r>
    </w:p>
    <w:p w14:paraId="11AA68A3" w14:textId="77777777" w:rsidR="00902CC1" w:rsidRPr="00902CC1" w:rsidRDefault="00902CC1" w:rsidP="00902CC1">
      <w:pPr>
        <w:jc w:val="both"/>
        <w:rPr>
          <w:b/>
          <w:u w:val="single"/>
          <w:lang w:val="en-US"/>
        </w:rPr>
      </w:pPr>
    </w:p>
    <w:p w14:paraId="517CFD4C" w14:textId="77777777" w:rsidR="00902CC1" w:rsidRDefault="00902CC1" w:rsidP="00902CC1">
      <w:pPr>
        <w:spacing w:after="0"/>
        <w:jc w:val="both"/>
      </w:pPr>
      <w:r>
        <w:t>Cet article présente</w:t>
      </w:r>
      <w:r>
        <w:rPr>
          <w:b/>
          <w:u w:val="single"/>
        </w:rPr>
        <w:t xml:space="preserve"> les </w:t>
      </w:r>
      <w:r>
        <w:t xml:space="preserve">résultats actualisés de l’essai SABR-COMET [1], une étude de phase 2 randomisée qui étudiait l’effet de la radiothérapie stéréotaxique chez des patients traités pour différents cancers, ayant une maladie </w:t>
      </w:r>
      <w:proofErr w:type="spellStart"/>
      <w:r>
        <w:t>oligométastatique</w:t>
      </w:r>
      <w:proofErr w:type="spellEnd"/>
      <w:r>
        <w:t xml:space="preserve"> contrôlée. </w:t>
      </w:r>
    </w:p>
    <w:p w14:paraId="430E1C68" w14:textId="77777777" w:rsidR="00902CC1" w:rsidRDefault="00902CC1" w:rsidP="00902CC1">
      <w:pPr>
        <w:spacing w:after="0"/>
        <w:jc w:val="both"/>
      </w:pPr>
    </w:p>
    <w:p w14:paraId="0F64ACC8" w14:textId="77777777" w:rsidR="00902CC1" w:rsidRDefault="00902CC1" w:rsidP="00902CC1">
      <w:pPr>
        <w:spacing w:after="0"/>
        <w:jc w:val="both"/>
      </w:pPr>
      <w:r>
        <w:t xml:space="preserve">Les patients éligibles à l’étude étaient pris en charge pour un cancer </w:t>
      </w:r>
      <w:proofErr w:type="spellStart"/>
      <w:r>
        <w:t>oligométastatique</w:t>
      </w:r>
      <w:proofErr w:type="spellEnd"/>
      <w:r>
        <w:t xml:space="preserve"> (1 à 5 métastases) contrôlé, chaque lésion étant accessible à une stéréotaxie. Les patients étaient randomisés en 2 : 1 dans le groupe stéréotaxie ou dans le groupe contrôle. Chaque métastase des patients du groupe expérimental étaient traitées par stéréotaxie. Les patients du groupe contrôle pouvait recevoir une radiothérapie standard à visée symptomatique ou préventive (doses de 8 Gy en 1 fraction jusqu’à 30 Gy en 10 fractions).  </w:t>
      </w:r>
    </w:p>
    <w:p w14:paraId="244536D2" w14:textId="77777777" w:rsidR="00902CC1" w:rsidRDefault="00902CC1" w:rsidP="00902CC1">
      <w:pPr>
        <w:spacing w:after="0"/>
        <w:jc w:val="both"/>
      </w:pPr>
    </w:p>
    <w:p w14:paraId="0E54D8AE" w14:textId="77777777" w:rsidR="00902CC1" w:rsidRDefault="00902CC1" w:rsidP="00902CC1">
      <w:pPr>
        <w:spacing w:after="0"/>
        <w:jc w:val="both"/>
      </w:pPr>
      <w:r>
        <w:t xml:space="preserve">Au total, 99 patients ont été inclus de 2012 à 2016 : 66 dans le bras expérimental et 33 dans le bras contrôle. Les cancers les plus représentées étaient les cancers de la prostate, du sein, du poumon et colorectal. Malgré son caractère aléatoire, la randomisation était déséquilibrée entre les 2 groupes, avec davantage de patients ayant un cancer de la prostate dans le groupe stéréotaxie (21% des patients du groupe contre 6%). </w:t>
      </w:r>
    </w:p>
    <w:p w14:paraId="68093C23" w14:textId="77777777" w:rsidR="00902CC1" w:rsidRDefault="00902CC1" w:rsidP="00902CC1">
      <w:pPr>
        <w:spacing w:after="0"/>
        <w:jc w:val="both"/>
      </w:pPr>
    </w:p>
    <w:p w14:paraId="4554FC02" w14:textId="77777777" w:rsidR="00902CC1" w:rsidRDefault="00902CC1" w:rsidP="00902CC1">
      <w:pPr>
        <w:spacing w:after="0"/>
        <w:jc w:val="both"/>
      </w:pPr>
      <w:r>
        <w:t>Les analyses actualisées après un suivi médian de 51 mois ont confirmé et même renforcé les premiers résultats publiés en 2018. Une amélioration de la survie globale, critère de jugement principal de l’étude, a été observée dans le groupe stéréotaxie (50 vs 28 mois ; HR 0,47, IC95% 0,27-0,81 ; taux de survie globale à 5 ans : 42,3% vs 17,7%). On notait également un bénéfice significatif en survie sans progression  (SSP médiane 11,6 vs 5,4 mois, HR 0,48 (IC95% 0,31-0,76).  Ce bénéfice était retrouvé après correction du déséquilibre de répartition des cancers de la prostate.</w:t>
      </w:r>
    </w:p>
    <w:p w14:paraId="6854A4C7" w14:textId="77777777" w:rsidR="00902CC1" w:rsidRDefault="00902CC1" w:rsidP="00902CC1">
      <w:pPr>
        <w:spacing w:after="0"/>
        <w:jc w:val="both"/>
      </w:pPr>
      <w:r>
        <w:t xml:space="preserve">On observait plus de toxicités de grades ≥ 2 dans le groupe stéréotaxie (29% vs 9%, p=0,03), avec 3 décès rapportés dans le groupe stéréotaxie comme possiblement, probablement ou certainement relié au traitement. En revanche, les scores de qualité de vie (FACT-G) n’étaient pas différents entre les deux groupes.  </w:t>
      </w:r>
    </w:p>
    <w:p w14:paraId="12424E26" w14:textId="77777777" w:rsidR="00902CC1" w:rsidRDefault="00902CC1" w:rsidP="00902CC1">
      <w:pPr>
        <w:spacing w:after="0"/>
        <w:jc w:val="both"/>
      </w:pPr>
    </w:p>
    <w:p w14:paraId="14BCB1D8" w14:textId="77777777" w:rsidR="00902CC1" w:rsidRDefault="00902CC1" w:rsidP="00902CC1">
      <w:pPr>
        <w:spacing w:after="0"/>
        <w:jc w:val="both"/>
      </w:pPr>
      <w:r>
        <w:t xml:space="preserve">Les résultats encourageants de cette étude participent à la petite révolution actuelle en oncologie liée au développement des traitements focaux dans les maladies </w:t>
      </w:r>
      <w:proofErr w:type="spellStart"/>
      <w:r>
        <w:t>oligo</w:t>
      </w:r>
      <w:proofErr w:type="spellEnd"/>
      <w:r>
        <w:t>-métastatiques. Deux essais de phase 3 sont actuellement en cours pour confirmer les résultats de cette étude (une étude chez les patients ayant 1 à 3 métastases et 1 étude chez les patients en ayant 4 à 10).</w:t>
      </w:r>
    </w:p>
    <w:p w14:paraId="25FF5B20" w14:textId="77777777" w:rsidR="00902CC1" w:rsidRDefault="00902CC1" w:rsidP="00902CC1">
      <w:pPr>
        <w:spacing w:after="0"/>
        <w:jc w:val="both"/>
      </w:pPr>
    </w:p>
    <w:p w14:paraId="5057A22E" w14:textId="77777777" w:rsidR="00902CC1" w:rsidRDefault="00902CC1" w:rsidP="00902CC1">
      <w:pPr>
        <w:spacing w:after="0"/>
        <w:jc w:val="both"/>
      </w:pPr>
      <w:r>
        <w:rPr>
          <w:lang w:val="en-US"/>
        </w:rPr>
        <w:t>[1</w:t>
      </w:r>
      <w:proofErr w:type="gramStart"/>
      <w:r>
        <w:rPr>
          <w:lang w:val="en-US"/>
        </w:rPr>
        <w:t>] :</w:t>
      </w:r>
      <w:proofErr w:type="gramEnd"/>
      <w:r>
        <w:rPr>
          <w:lang w:val="en-US"/>
        </w:rPr>
        <w:t xml:space="preserve"> Palma DA, Olson R, Harrow S, et al: Stereotactic ablative radiotherapy versus standard of care palliative treatment in patients with </w:t>
      </w:r>
      <w:proofErr w:type="spellStart"/>
      <w:r>
        <w:rPr>
          <w:lang w:val="en-US"/>
        </w:rPr>
        <w:t>oligometastatic</w:t>
      </w:r>
      <w:proofErr w:type="spellEnd"/>
      <w:r>
        <w:rPr>
          <w:lang w:val="en-US"/>
        </w:rPr>
        <w:t xml:space="preserve"> cancers (SABR-COMET): A </w:t>
      </w:r>
      <w:proofErr w:type="spellStart"/>
      <w:r>
        <w:rPr>
          <w:lang w:val="en-US"/>
        </w:rPr>
        <w:t>randomised</w:t>
      </w:r>
      <w:proofErr w:type="spellEnd"/>
      <w:r>
        <w:rPr>
          <w:lang w:val="en-US"/>
        </w:rPr>
        <w:t xml:space="preserve">, phase 2, open-label trial. </w:t>
      </w:r>
      <w:r w:rsidRPr="00902CC1">
        <w:t>Lancet 393:2051-2058, 2019</w:t>
      </w:r>
    </w:p>
    <w:p w14:paraId="0D10322F" w14:textId="77777777" w:rsidR="00902CC1" w:rsidRDefault="00902CC1" w:rsidP="00902CC1">
      <w:pPr>
        <w:spacing w:after="0"/>
        <w:jc w:val="both"/>
      </w:pPr>
    </w:p>
    <w:p w14:paraId="634BA498" w14:textId="77777777" w:rsidR="00902CC1" w:rsidRPr="00902CC1" w:rsidRDefault="00902CC1" w:rsidP="00902CC1">
      <w:pPr>
        <w:spacing w:after="0"/>
        <w:jc w:val="both"/>
      </w:pPr>
      <w:bookmarkStart w:id="0" w:name="_GoBack"/>
      <w:bookmarkEnd w:id="0"/>
    </w:p>
    <w:p w14:paraId="7F2B746D" w14:textId="77777777" w:rsidR="00F127F6" w:rsidRDefault="000D3E88" w:rsidP="00744156">
      <w:pPr>
        <w:rPr>
          <w:b/>
        </w:rPr>
      </w:pPr>
      <w:r>
        <w:rPr>
          <w:b/>
        </w:rPr>
        <w:t>Intéressé par la revue de presse ? N’</w:t>
      </w:r>
      <w:r w:rsidR="00F127F6">
        <w:rPr>
          <w:b/>
        </w:rPr>
        <w:t>hésite pas à contacter l’AERIO.</w:t>
      </w:r>
    </w:p>
    <w:p w14:paraId="411E64D2" w14:textId="77777777" w:rsidR="000D3E88" w:rsidRPr="00D61621" w:rsidRDefault="000D3E88" w:rsidP="00744156">
      <w:pPr>
        <w:rPr>
          <w:b/>
        </w:rPr>
      </w:pPr>
      <w:r>
        <w:rPr>
          <w:b/>
        </w:rPr>
        <w:t xml:space="preserve">A bientôt ! </w:t>
      </w:r>
    </w:p>
    <w:sectPr w:rsidR="000D3E88" w:rsidRPr="00D616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A1D70"/>
    <w:multiLevelType w:val="hybridMultilevel"/>
    <w:tmpl w:val="989AECDC"/>
    <w:lvl w:ilvl="0" w:tplc="A0A669DC">
      <w:start w:val="15"/>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3E963C4B"/>
    <w:multiLevelType w:val="hybridMultilevel"/>
    <w:tmpl w:val="155A950C"/>
    <w:lvl w:ilvl="0" w:tplc="E2FECAB4">
      <w:start w:val="154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B2954A5"/>
    <w:multiLevelType w:val="hybridMultilevel"/>
    <w:tmpl w:val="8E3AF180"/>
    <w:lvl w:ilvl="0" w:tplc="F9EC7F4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1F10AF3"/>
    <w:multiLevelType w:val="hybridMultilevel"/>
    <w:tmpl w:val="A1D88570"/>
    <w:lvl w:ilvl="0" w:tplc="5AB2EC8E">
      <w:numFmt w:val="bullet"/>
      <w:lvlText w:val="-"/>
      <w:lvlJc w:val="left"/>
      <w:pPr>
        <w:ind w:left="360" w:hanging="360"/>
      </w:pPr>
      <w:rPr>
        <w:rFonts w:ascii="Cambria" w:eastAsiaTheme="minorEastAsia" w:hAnsi="Cambria" w:cstheme="minorBidi"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77AD73D2"/>
    <w:multiLevelType w:val="hybridMultilevel"/>
    <w:tmpl w:val="A064A79E"/>
    <w:lvl w:ilvl="0" w:tplc="10DC3F5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156"/>
    <w:rsid w:val="00001ECD"/>
    <w:rsid w:val="00021681"/>
    <w:rsid w:val="000519D8"/>
    <w:rsid w:val="0006029A"/>
    <w:rsid w:val="00070220"/>
    <w:rsid w:val="000D3E88"/>
    <w:rsid w:val="000F1058"/>
    <w:rsid w:val="00121DB0"/>
    <w:rsid w:val="001B64A4"/>
    <w:rsid w:val="00281C75"/>
    <w:rsid w:val="0029732C"/>
    <w:rsid w:val="002F75EF"/>
    <w:rsid w:val="00321AA1"/>
    <w:rsid w:val="00330087"/>
    <w:rsid w:val="00357F7E"/>
    <w:rsid w:val="003D178E"/>
    <w:rsid w:val="00400367"/>
    <w:rsid w:val="00407FDA"/>
    <w:rsid w:val="004A6E6B"/>
    <w:rsid w:val="004D0C84"/>
    <w:rsid w:val="004D3029"/>
    <w:rsid w:val="004D36E6"/>
    <w:rsid w:val="004E425F"/>
    <w:rsid w:val="0050226B"/>
    <w:rsid w:val="005077DD"/>
    <w:rsid w:val="00526DBC"/>
    <w:rsid w:val="005D0EE5"/>
    <w:rsid w:val="005E58BA"/>
    <w:rsid w:val="00690569"/>
    <w:rsid w:val="006C5525"/>
    <w:rsid w:val="00744156"/>
    <w:rsid w:val="007C6F12"/>
    <w:rsid w:val="007D74A6"/>
    <w:rsid w:val="008039C1"/>
    <w:rsid w:val="00852D54"/>
    <w:rsid w:val="00872188"/>
    <w:rsid w:val="008F5DD6"/>
    <w:rsid w:val="008F62D4"/>
    <w:rsid w:val="008F7A11"/>
    <w:rsid w:val="00902CC1"/>
    <w:rsid w:val="00930E51"/>
    <w:rsid w:val="00A051AF"/>
    <w:rsid w:val="00A13E22"/>
    <w:rsid w:val="00A34CA4"/>
    <w:rsid w:val="00A63EE6"/>
    <w:rsid w:val="00B108A1"/>
    <w:rsid w:val="00B31569"/>
    <w:rsid w:val="00B55F7D"/>
    <w:rsid w:val="00B810CF"/>
    <w:rsid w:val="00BA0647"/>
    <w:rsid w:val="00BA7CCD"/>
    <w:rsid w:val="00BB4F6C"/>
    <w:rsid w:val="00BB6CC7"/>
    <w:rsid w:val="00BE63B9"/>
    <w:rsid w:val="00C048F8"/>
    <w:rsid w:val="00C101DE"/>
    <w:rsid w:val="00C21B62"/>
    <w:rsid w:val="00C46701"/>
    <w:rsid w:val="00CF1E51"/>
    <w:rsid w:val="00D30D68"/>
    <w:rsid w:val="00D477AF"/>
    <w:rsid w:val="00D61621"/>
    <w:rsid w:val="00D70A0E"/>
    <w:rsid w:val="00D94074"/>
    <w:rsid w:val="00DB3F90"/>
    <w:rsid w:val="00E05F47"/>
    <w:rsid w:val="00E22D83"/>
    <w:rsid w:val="00E26E40"/>
    <w:rsid w:val="00E316AA"/>
    <w:rsid w:val="00E746E3"/>
    <w:rsid w:val="00F127F6"/>
    <w:rsid w:val="00FA554F"/>
    <w:rsid w:val="00FE53C6"/>
    <w:rsid w:val="00FF433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B7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3300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44156"/>
    <w:pPr>
      <w:ind w:left="720"/>
      <w:contextualSpacing/>
    </w:pPr>
  </w:style>
  <w:style w:type="paragraph" w:styleId="Textedebulles">
    <w:name w:val="Balloon Text"/>
    <w:basedOn w:val="Normal"/>
    <w:link w:val="TextedebullesCar"/>
    <w:uiPriority w:val="99"/>
    <w:semiHidden/>
    <w:unhideWhenUsed/>
    <w:rsid w:val="002F75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75EF"/>
    <w:rPr>
      <w:rFonts w:ascii="Tahoma" w:hAnsi="Tahoma" w:cs="Tahoma"/>
      <w:sz w:val="16"/>
      <w:szCs w:val="16"/>
    </w:rPr>
  </w:style>
  <w:style w:type="paragraph" w:styleId="NormalWeb">
    <w:name w:val="Normal (Web)"/>
    <w:basedOn w:val="Normal"/>
    <w:uiPriority w:val="99"/>
    <w:semiHidden/>
    <w:unhideWhenUsed/>
    <w:rsid w:val="00C21B6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127F6"/>
    <w:rPr>
      <w:color w:val="0000FF" w:themeColor="hyperlink"/>
      <w:u w:val="single"/>
    </w:rPr>
  </w:style>
  <w:style w:type="character" w:customStyle="1" w:styleId="Titre1Car">
    <w:name w:val="Titre 1 Car"/>
    <w:basedOn w:val="Policepardfaut"/>
    <w:link w:val="Titre1"/>
    <w:uiPriority w:val="9"/>
    <w:rsid w:val="00330087"/>
    <w:rPr>
      <w:rFonts w:ascii="Times New Roman" w:eastAsia="Times New Roman" w:hAnsi="Times New Roman" w:cs="Times New Roman"/>
      <w:b/>
      <w:bCs/>
      <w:kern w:val="36"/>
      <w:sz w:val="48"/>
      <w:szCs w:val="48"/>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3300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44156"/>
    <w:pPr>
      <w:ind w:left="720"/>
      <w:contextualSpacing/>
    </w:pPr>
  </w:style>
  <w:style w:type="paragraph" w:styleId="Textedebulles">
    <w:name w:val="Balloon Text"/>
    <w:basedOn w:val="Normal"/>
    <w:link w:val="TextedebullesCar"/>
    <w:uiPriority w:val="99"/>
    <w:semiHidden/>
    <w:unhideWhenUsed/>
    <w:rsid w:val="002F75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75EF"/>
    <w:rPr>
      <w:rFonts w:ascii="Tahoma" w:hAnsi="Tahoma" w:cs="Tahoma"/>
      <w:sz w:val="16"/>
      <w:szCs w:val="16"/>
    </w:rPr>
  </w:style>
  <w:style w:type="paragraph" w:styleId="NormalWeb">
    <w:name w:val="Normal (Web)"/>
    <w:basedOn w:val="Normal"/>
    <w:uiPriority w:val="99"/>
    <w:semiHidden/>
    <w:unhideWhenUsed/>
    <w:rsid w:val="00C21B6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127F6"/>
    <w:rPr>
      <w:color w:val="0000FF" w:themeColor="hyperlink"/>
      <w:u w:val="single"/>
    </w:rPr>
  </w:style>
  <w:style w:type="character" w:customStyle="1" w:styleId="Titre1Car">
    <w:name w:val="Titre 1 Car"/>
    <w:basedOn w:val="Policepardfaut"/>
    <w:link w:val="Titre1"/>
    <w:uiPriority w:val="9"/>
    <w:rsid w:val="00330087"/>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92895">
      <w:bodyDiv w:val="1"/>
      <w:marLeft w:val="0"/>
      <w:marRight w:val="0"/>
      <w:marTop w:val="0"/>
      <w:marBottom w:val="0"/>
      <w:divBdr>
        <w:top w:val="none" w:sz="0" w:space="0" w:color="auto"/>
        <w:left w:val="none" w:sz="0" w:space="0" w:color="auto"/>
        <w:bottom w:val="none" w:sz="0" w:space="0" w:color="auto"/>
        <w:right w:val="none" w:sz="0" w:space="0" w:color="auto"/>
      </w:divBdr>
      <w:divsChild>
        <w:div w:id="2082827922">
          <w:marLeft w:val="0"/>
          <w:marRight w:val="0"/>
          <w:marTop w:val="0"/>
          <w:marBottom w:val="0"/>
          <w:divBdr>
            <w:top w:val="none" w:sz="0" w:space="0" w:color="auto"/>
            <w:left w:val="none" w:sz="0" w:space="0" w:color="auto"/>
            <w:bottom w:val="none" w:sz="0" w:space="0" w:color="auto"/>
            <w:right w:val="none" w:sz="0" w:space="0" w:color="auto"/>
          </w:divBdr>
          <w:divsChild>
            <w:div w:id="1376464962">
              <w:marLeft w:val="0"/>
              <w:marRight w:val="0"/>
              <w:marTop w:val="0"/>
              <w:marBottom w:val="0"/>
              <w:divBdr>
                <w:top w:val="none" w:sz="0" w:space="0" w:color="auto"/>
                <w:left w:val="none" w:sz="0" w:space="0" w:color="auto"/>
                <w:bottom w:val="none" w:sz="0" w:space="0" w:color="auto"/>
                <w:right w:val="none" w:sz="0" w:space="0" w:color="auto"/>
              </w:divBdr>
              <w:divsChild>
                <w:div w:id="213039501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335232824">
      <w:bodyDiv w:val="1"/>
      <w:marLeft w:val="0"/>
      <w:marRight w:val="0"/>
      <w:marTop w:val="0"/>
      <w:marBottom w:val="0"/>
      <w:divBdr>
        <w:top w:val="none" w:sz="0" w:space="0" w:color="auto"/>
        <w:left w:val="none" w:sz="0" w:space="0" w:color="auto"/>
        <w:bottom w:val="none" w:sz="0" w:space="0" w:color="auto"/>
        <w:right w:val="none" w:sz="0" w:space="0" w:color="auto"/>
      </w:divBdr>
    </w:div>
    <w:div w:id="947934884">
      <w:bodyDiv w:val="1"/>
      <w:marLeft w:val="0"/>
      <w:marRight w:val="0"/>
      <w:marTop w:val="0"/>
      <w:marBottom w:val="0"/>
      <w:divBdr>
        <w:top w:val="none" w:sz="0" w:space="0" w:color="auto"/>
        <w:left w:val="none" w:sz="0" w:space="0" w:color="auto"/>
        <w:bottom w:val="none" w:sz="0" w:space="0" w:color="auto"/>
        <w:right w:val="none" w:sz="0" w:space="0" w:color="auto"/>
      </w:divBdr>
    </w:div>
    <w:div w:id="1036076726">
      <w:bodyDiv w:val="1"/>
      <w:marLeft w:val="0"/>
      <w:marRight w:val="0"/>
      <w:marTop w:val="0"/>
      <w:marBottom w:val="0"/>
      <w:divBdr>
        <w:top w:val="none" w:sz="0" w:space="0" w:color="auto"/>
        <w:left w:val="none" w:sz="0" w:space="0" w:color="auto"/>
        <w:bottom w:val="none" w:sz="0" w:space="0" w:color="auto"/>
        <w:right w:val="none" w:sz="0" w:space="0" w:color="auto"/>
      </w:divBdr>
    </w:div>
    <w:div w:id="1121538796">
      <w:bodyDiv w:val="1"/>
      <w:marLeft w:val="0"/>
      <w:marRight w:val="0"/>
      <w:marTop w:val="0"/>
      <w:marBottom w:val="0"/>
      <w:divBdr>
        <w:top w:val="none" w:sz="0" w:space="0" w:color="auto"/>
        <w:left w:val="none" w:sz="0" w:space="0" w:color="auto"/>
        <w:bottom w:val="none" w:sz="0" w:space="0" w:color="auto"/>
        <w:right w:val="none" w:sz="0" w:space="0" w:color="auto"/>
      </w:divBdr>
      <w:divsChild>
        <w:div w:id="567690236">
          <w:marLeft w:val="0"/>
          <w:marRight w:val="0"/>
          <w:marTop w:val="0"/>
          <w:marBottom w:val="0"/>
          <w:divBdr>
            <w:top w:val="none" w:sz="0" w:space="0" w:color="auto"/>
            <w:left w:val="none" w:sz="0" w:space="0" w:color="auto"/>
            <w:bottom w:val="none" w:sz="0" w:space="0" w:color="auto"/>
            <w:right w:val="none" w:sz="0" w:space="0" w:color="auto"/>
          </w:divBdr>
        </w:div>
        <w:div w:id="1158152889">
          <w:marLeft w:val="0"/>
          <w:marRight w:val="0"/>
          <w:marTop w:val="0"/>
          <w:marBottom w:val="0"/>
          <w:divBdr>
            <w:top w:val="none" w:sz="0" w:space="0" w:color="auto"/>
            <w:left w:val="none" w:sz="0" w:space="0" w:color="auto"/>
            <w:bottom w:val="none" w:sz="0" w:space="0" w:color="auto"/>
            <w:right w:val="none" w:sz="0" w:space="0" w:color="auto"/>
          </w:divBdr>
        </w:div>
        <w:div w:id="100147355">
          <w:marLeft w:val="0"/>
          <w:marRight w:val="0"/>
          <w:marTop w:val="0"/>
          <w:marBottom w:val="0"/>
          <w:divBdr>
            <w:top w:val="none" w:sz="0" w:space="0" w:color="auto"/>
            <w:left w:val="none" w:sz="0" w:space="0" w:color="auto"/>
            <w:bottom w:val="none" w:sz="0" w:space="0" w:color="auto"/>
            <w:right w:val="none" w:sz="0" w:space="0" w:color="auto"/>
          </w:divBdr>
        </w:div>
        <w:div w:id="1859075542">
          <w:marLeft w:val="0"/>
          <w:marRight w:val="0"/>
          <w:marTop w:val="0"/>
          <w:marBottom w:val="0"/>
          <w:divBdr>
            <w:top w:val="none" w:sz="0" w:space="0" w:color="auto"/>
            <w:left w:val="none" w:sz="0" w:space="0" w:color="auto"/>
            <w:bottom w:val="none" w:sz="0" w:space="0" w:color="auto"/>
            <w:right w:val="none" w:sz="0" w:space="0" w:color="auto"/>
          </w:divBdr>
        </w:div>
        <w:div w:id="1211723473">
          <w:marLeft w:val="0"/>
          <w:marRight w:val="0"/>
          <w:marTop w:val="0"/>
          <w:marBottom w:val="0"/>
          <w:divBdr>
            <w:top w:val="none" w:sz="0" w:space="0" w:color="auto"/>
            <w:left w:val="none" w:sz="0" w:space="0" w:color="auto"/>
            <w:bottom w:val="none" w:sz="0" w:space="0" w:color="auto"/>
            <w:right w:val="none" w:sz="0" w:space="0" w:color="auto"/>
          </w:divBdr>
        </w:div>
        <w:div w:id="1810592782">
          <w:marLeft w:val="0"/>
          <w:marRight w:val="0"/>
          <w:marTop w:val="0"/>
          <w:marBottom w:val="0"/>
          <w:divBdr>
            <w:top w:val="none" w:sz="0" w:space="0" w:color="auto"/>
            <w:left w:val="none" w:sz="0" w:space="0" w:color="auto"/>
            <w:bottom w:val="none" w:sz="0" w:space="0" w:color="auto"/>
            <w:right w:val="none" w:sz="0" w:space="0" w:color="auto"/>
          </w:divBdr>
        </w:div>
        <w:div w:id="1840339851">
          <w:marLeft w:val="0"/>
          <w:marRight w:val="0"/>
          <w:marTop w:val="0"/>
          <w:marBottom w:val="0"/>
          <w:divBdr>
            <w:top w:val="none" w:sz="0" w:space="0" w:color="auto"/>
            <w:left w:val="none" w:sz="0" w:space="0" w:color="auto"/>
            <w:bottom w:val="none" w:sz="0" w:space="0" w:color="auto"/>
            <w:right w:val="none" w:sz="0" w:space="0" w:color="auto"/>
          </w:divBdr>
        </w:div>
        <w:div w:id="2012175296">
          <w:marLeft w:val="0"/>
          <w:marRight w:val="0"/>
          <w:marTop w:val="0"/>
          <w:marBottom w:val="0"/>
          <w:divBdr>
            <w:top w:val="none" w:sz="0" w:space="0" w:color="auto"/>
            <w:left w:val="none" w:sz="0" w:space="0" w:color="auto"/>
            <w:bottom w:val="none" w:sz="0" w:space="0" w:color="auto"/>
            <w:right w:val="none" w:sz="0" w:space="0" w:color="auto"/>
          </w:divBdr>
        </w:div>
        <w:div w:id="1936135352">
          <w:marLeft w:val="0"/>
          <w:marRight w:val="0"/>
          <w:marTop w:val="0"/>
          <w:marBottom w:val="0"/>
          <w:divBdr>
            <w:top w:val="none" w:sz="0" w:space="0" w:color="auto"/>
            <w:left w:val="none" w:sz="0" w:space="0" w:color="auto"/>
            <w:bottom w:val="none" w:sz="0" w:space="0" w:color="auto"/>
            <w:right w:val="none" w:sz="0" w:space="0" w:color="auto"/>
          </w:divBdr>
        </w:div>
        <w:div w:id="1730303853">
          <w:marLeft w:val="0"/>
          <w:marRight w:val="0"/>
          <w:marTop w:val="0"/>
          <w:marBottom w:val="0"/>
          <w:divBdr>
            <w:top w:val="none" w:sz="0" w:space="0" w:color="auto"/>
            <w:left w:val="none" w:sz="0" w:space="0" w:color="auto"/>
            <w:bottom w:val="none" w:sz="0" w:space="0" w:color="auto"/>
            <w:right w:val="none" w:sz="0" w:space="0" w:color="auto"/>
          </w:divBdr>
        </w:div>
        <w:div w:id="462117154">
          <w:marLeft w:val="0"/>
          <w:marRight w:val="0"/>
          <w:marTop w:val="0"/>
          <w:marBottom w:val="0"/>
          <w:divBdr>
            <w:top w:val="none" w:sz="0" w:space="0" w:color="auto"/>
            <w:left w:val="none" w:sz="0" w:space="0" w:color="auto"/>
            <w:bottom w:val="none" w:sz="0" w:space="0" w:color="auto"/>
            <w:right w:val="none" w:sz="0" w:space="0" w:color="auto"/>
          </w:divBdr>
        </w:div>
        <w:div w:id="360935869">
          <w:marLeft w:val="0"/>
          <w:marRight w:val="0"/>
          <w:marTop w:val="0"/>
          <w:marBottom w:val="0"/>
          <w:divBdr>
            <w:top w:val="none" w:sz="0" w:space="0" w:color="auto"/>
            <w:left w:val="none" w:sz="0" w:space="0" w:color="auto"/>
            <w:bottom w:val="none" w:sz="0" w:space="0" w:color="auto"/>
            <w:right w:val="none" w:sz="0" w:space="0" w:color="auto"/>
          </w:divBdr>
        </w:div>
        <w:div w:id="2070497230">
          <w:marLeft w:val="0"/>
          <w:marRight w:val="0"/>
          <w:marTop w:val="0"/>
          <w:marBottom w:val="0"/>
          <w:divBdr>
            <w:top w:val="none" w:sz="0" w:space="0" w:color="auto"/>
            <w:left w:val="none" w:sz="0" w:space="0" w:color="auto"/>
            <w:bottom w:val="none" w:sz="0" w:space="0" w:color="auto"/>
            <w:right w:val="none" w:sz="0" w:space="0" w:color="auto"/>
          </w:divBdr>
        </w:div>
        <w:div w:id="1289630416">
          <w:marLeft w:val="0"/>
          <w:marRight w:val="0"/>
          <w:marTop w:val="0"/>
          <w:marBottom w:val="0"/>
          <w:divBdr>
            <w:top w:val="none" w:sz="0" w:space="0" w:color="auto"/>
            <w:left w:val="none" w:sz="0" w:space="0" w:color="auto"/>
            <w:bottom w:val="none" w:sz="0" w:space="0" w:color="auto"/>
            <w:right w:val="none" w:sz="0" w:space="0" w:color="auto"/>
          </w:divBdr>
        </w:div>
        <w:div w:id="1519126449">
          <w:marLeft w:val="0"/>
          <w:marRight w:val="0"/>
          <w:marTop w:val="0"/>
          <w:marBottom w:val="0"/>
          <w:divBdr>
            <w:top w:val="none" w:sz="0" w:space="0" w:color="auto"/>
            <w:left w:val="none" w:sz="0" w:space="0" w:color="auto"/>
            <w:bottom w:val="none" w:sz="0" w:space="0" w:color="auto"/>
            <w:right w:val="none" w:sz="0" w:space="0" w:color="auto"/>
          </w:divBdr>
        </w:div>
        <w:div w:id="191193087">
          <w:marLeft w:val="0"/>
          <w:marRight w:val="0"/>
          <w:marTop w:val="0"/>
          <w:marBottom w:val="0"/>
          <w:divBdr>
            <w:top w:val="none" w:sz="0" w:space="0" w:color="auto"/>
            <w:left w:val="none" w:sz="0" w:space="0" w:color="auto"/>
            <w:bottom w:val="none" w:sz="0" w:space="0" w:color="auto"/>
            <w:right w:val="none" w:sz="0" w:space="0" w:color="auto"/>
          </w:divBdr>
        </w:div>
        <w:div w:id="1581141195">
          <w:marLeft w:val="0"/>
          <w:marRight w:val="0"/>
          <w:marTop w:val="0"/>
          <w:marBottom w:val="0"/>
          <w:divBdr>
            <w:top w:val="none" w:sz="0" w:space="0" w:color="auto"/>
            <w:left w:val="none" w:sz="0" w:space="0" w:color="auto"/>
            <w:bottom w:val="none" w:sz="0" w:space="0" w:color="auto"/>
            <w:right w:val="none" w:sz="0" w:space="0" w:color="auto"/>
          </w:divBdr>
        </w:div>
        <w:div w:id="354768444">
          <w:marLeft w:val="0"/>
          <w:marRight w:val="0"/>
          <w:marTop w:val="0"/>
          <w:marBottom w:val="0"/>
          <w:divBdr>
            <w:top w:val="none" w:sz="0" w:space="0" w:color="auto"/>
            <w:left w:val="none" w:sz="0" w:space="0" w:color="auto"/>
            <w:bottom w:val="none" w:sz="0" w:space="0" w:color="auto"/>
            <w:right w:val="none" w:sz="0" w:space="0" w:color="auto"/>
          </w:divBdr>
        </w:div>
        <w:div w:id="1330405014">
          <w:marLeft w:val="0"/>
          <w:marRight w:val="0"/>
          <w:marTop w:val="0"/>
          <w:marBottom w:val="0"/>
          <w:divBdr>
            <w:top w:val="none" w:sz="0" w:space="0" w:color="auto"/>
            <w:left w:val="none" w:sz="0" w:space="0" w:color="auto"/>
            <w:bottom w:val="none" w:sz="0" w:space="0" w:color="auto"/>
            <w:right w:val="none" w:sz="0" w:space="0" w:color="auto"/>
          </w:divBdr>
        </w:div>
      </w:divsChild>
    </w:div>
    <w:div w:id="1268151846">
      <w:bodyDiv w:val="1"/>
      <w:marLeft w:val="0"/>
      <w:marRight w:val="0"/>
      <w:marTop w:val="0"/>
      <w:marBottom w:val="0"/>
      <w:divBdr>
        <w:top w:val="none" w:sz="0" w:space="0" w:color="auto"/>
        <w:left w:val="none" w:sz="0" w:space="0" w:color="auto"/>
        <w:bottom w:val="none" w:sz="0" w:space="0" w:color="auto"/>
        <w:right w:val="none" w:sz="0" w:space="0" w:color="auto"/>
      </w:divBdr>
    </w:div>
    <w:div w:id="1342705969">
      <w:bodyDiv w:val="1"/>
      <w:marLeft w:val="0"/>
      <w:marRight w:val="0"/>
      <w:marTop w:val="0"/>
      <w:marBottom w:val="0"/>
      <w:divBdr>
        <w:top w:val="none" w:sz="0" w:space="0" w:color="auto"/>
        <w:left w:val="none" w:sz="0" w:space="0" w:color="auto"/>
        <w:bottom w:val="none" w:sz="0" w:space="0" w:color="auto"/>
        <w:right w:val="none" w:sz="0" w:space="0" w:color="auto"/>
      </w:divBdr>
      <w:divsChild>
        <w:div w:id="2053966387">
          <w:marLeft w:val="0"/>
          <w:marRight w:val="0"/>
          <w:marTop w:val="0"/>
          <w:marBottom w:val="0"/>
          <w:divBdr>
            <w:top w:val="none" w:sz="0" w:space="0" w:color="auto"/>
            <w:left w:val="none" w:sz="0" w:space="0" w:color="auto"/>
            <w:bottom w:val="none" w:sz="0" w:space="0" w:color="auto"/>
            <w:right w:val="none" w:sz="0" w:space="0" w:color="auto"/>
          </w:divBdr>
        </w:div>
        <w:div w:id="1213544262">
          <w:marLeft w:val="0"/>
          <w:marRight w:val="0"/>
          <w:marTop w:val="0"/>
          <w:marBottom w:val="0"/>
          <w:divBdr>
            <w:top w:val="none" w:sz="0" w:space="0" w:color="auto"/>
            <w:left w:val="none" w:sz="0" w:space="0" w:color="auto"/>
            <w:bottom w:val="none" w:sz="0" w:space="0" w:color="auto"/>
            <w:right w:val="none" w:sz="0" w:space="0" w:color="auto"/>
          </w:divBdr>
        </w:div>
        <w:div w:id="2140028546">
          <w:marLeft w:val="0"/>
          <w:marRight w:val="0"/>
          <w:marTop w:val="0"/>
          <w:marBottom w:val="0"/>
          <w:divBdr>
            <w:top w:val="none" w:sz="0" w:space="0" w:color="auto"/>
            <w:left w:val="none" w:sz="0" w:space="0" w:color="auto"/>
            <w:bottom w:val="none" w:sz="0" w:space="0" w:color="auto"/>
            <w:right w:val="none" w:sz="0" w:space="0" w:color="auto"/>
          </w:divBdr>
        </w:div>
        <w:div w:id="703676028">
          <w:marLeft w:val="0"/>
          <w:marRight w:val="0"/>
          <w:marTop w:val="0"/>
          <w:marBottom w:val="0"/>
          <w:divBdr>
            <w:top w:val="none" w:sz="0" w:space="0" w:color="auto"/>
            <w:left w:val="none" w:sz="0" w:space="0" w:color="auto"/>
            <w:bottom w:val="none" w:sz="0" w:space="0" w:color="auto"/>
            <w:right w:val="none" w:sz="0" w:space="0" w:color="auto"/>
          </w:divBdr>
        </w:div>
        <w:div w:id="1133983599">
          <w:marLeft w:val="0"/>
          <w:marRight w:val="0"/>
          <w:marTop w:val="0"/>
          <w:marBottom w:val="0"/>
          <w:divBdr>
            <w:top w:val="none" w:sz="0" w:space="0" w:color="auto"/>
            <w:left w:val="none" w:sz="0" w:space="0" w:color="auto"/>
            <w:bottom w:val="none" w:sz="0" w:space="0" w:color="auto"/>
            <w:right w:val="none" w:sz="0" w:space="0" w:color="auto"/>
          </w:divBdr>
        </w:div>
        <w:div w:id="869612013">
          <w:marLeft w:val="0"/>
          <w:marRight w:val="0"/>
          <w:marTop w:val="0"/>
          <w:marBottom w:val="0"/>
          <w:divBdr>
            <w:top w:val="none" w:sz="0" w:space="0" w:color="auto"/>
            <w:left w:val="none" w:sz="0" w:space="0" w:color="auto"/>
            <w:bottom w:val="none" w:sz="0" w:space="0" w:color="auto"/>
            <w:right w:val="none" w:sz="0" w:space="0" w:color="auto"/>
          </w:divBdr>
        </w:div>
        <w:div w:id="1536235567">
          <w:marLeft w:val="0"/>
          <w:marRight w:val="0"/>
          <w:marTop w:val="0"/>
          <w:marBottom w:val="0"/>
          <w:divBdr>
            <w:top w:val="none" w:sz="0" w:space="0" w:color="auto"/>
            <w:left w:val="none" w:sz="0" w:space="0" w:color="auto"/>
            <w:bottom w:val="none" w:sz="0" w:space="0" w:color="auto"/>
            <w:right w:val="none" w:sz="0" w:space="0" w:color="auto"/>
          </w:divBdr>
        </w:div>
      </w:divsChild>
    </w:div>
    <w:div w:id="1469274467">
      <w:bodyDiv w:val="1"/>
      <w:marLeft w:val="0"/>
      <w:marRight w:val="0"/>
      <w:marTop w:val="0"/>
      <w:marBottom w:val="0"/>
      <w:divBdr>
        <w:top w:val="none" w:sz="0" w:space="0" w:color="auto"/>
        <w:left w:val="none" w:sz="0" w:space="0" w:color="auto"/>
        <w:bottom w:val="none" w:sz="0" w:space="0" w:color="auto"/>
        <w:right w:val="none" w:sz="0" w:space="0" w:color="auto"/>
      </w:divBdr>
      <w:divsChild>
        <w:div w:id="1799952141">
          <w:marLeft w:val="0"/>
          <w:marRight w:val="0"/>
          <w:marTop w:val="0"/>
          <w:marBottom w:val="0"/>
          <w:divBdr>
            <w:top w:val="none" w:sz="0" w:space="0" w:color="auto"/>
            <w:left w:val="none" w:sz="0" w:space="0" w:color="auto"/>
            <w:bottom w:val="none" w:sz="0" w:space="0" w:color="auto"/>
            <w:right w:val="none" w:sz="0" w:space="0" w:color="auto"/>
          </w:divBdr>
          <w:divsChild>
            <w:div w:id="171380283">
              <w:marLeft w:val="0"/>
              <w:marRight w:val="0"/>
              <w:marTop w:val="0"/>
              <w:marBottom w:val="0"/>
              <w:divBdr>
                <w:top w:val="none" w:sz="0" w:space="0" w:color="auto"/>
                <w:left w:val="none" w:sz="0" w:space="0" w:color="auto"/>
                <w:bottom w:val="none" w:sz="0" w:space="0" w:color="auto"/>
                <w:right w:val="none" w:sz="0" w:space="0" w:color="auto"/>
              </w:divBdr>
              <w:divsChild>
                <w:div w:id="158152691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557618598">
      <w:bodyDiv w:val="1"/>
      <w:marLeft w:val="0"/>
      <w:marRight w:val="0"/>
      <w:marTop w:val="0"/>
      <w:marBottom w:val="0"/>
      <w:divBdr>
        <w:top w:val="none" w:sz="0" w:space="0" w:color="auto"/>
        <w:left w:val="none" w:sz="0" w:space="0" w:color="auto"/>
        <w:bottom w:val="none" w:sz="0" w:space="0" w:color="auto"/>
        <w:right w:val="none" w:sz="0" w:space="0" w:color="auto"/>
      </w:divBdr>
      <w:divsChild>
        <w:div w:id="715159306">
          <w:marLeft w:val="0"/>
          <w:marRight w:val="0"/>
          <w:marTop w:val="0"/>
          <w:marBottom w:val="0"/>
          <w:divBdr>
            <w:top w:val="none" w:sz="0" w:space="0" w:color="auto"/>
            <w:left w:val="none" w:sz="0" w:space="0" w:color="auto"/>
            <w:bottom w:val="none" w:sz="0" w:space="0" w:color="auto"/>
            <w:right w:val="none" w:sz="0" w:space="0" w:color="auto"/>
          </w:divBdr>
          <w:divsChild>
            <w:div w:id="1547448998">
              <w:marLeft w:val="0"/>
              <w:marRight w:val="0"/>
              <w:marTop w:val="0"/>
              <w:marBottom w:val="0"/>
              <w:divBdr>
                <w:top w:val="none" w:sz="0" w:space="0" w:color="auto"/>
                <w:left w:val="none" w:sz="0" w:space="0" w:color="auto"/>
                <w:bottom w:val="none" w:sz="0" w:space="0" w:color="auto"/>
                <w:right w:val="none" w:sz="0" w:space="0" w:color="auto"/>
              </w:divBdr>
              <w:divsChild>
                <w:div w:id="139219079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665085623">
      <w:bodyDiv w:val="1"/>
      <w:marLeft w:val="0"/>
      <w:marRight w:val="0"/>
      <w:marTop w:val="0"/>
      <w:marBottom w:val="0"/>
      <w:divBdr>
        <w:top w:val="none" w:sz="0" w:space="0" w:color="auto"/>
        <w:left w:val="none" w:sz="0" w:space="0" w:color="auto"/>
        <w:bottom w:val="none" w:sz="0" w:space="0" w:color="auto"/>
        <w:right w:val="none" w:sz="0" w:space="0" w:color="auto"/>
      </w:divBdr>
    </w:div>
    <w:div w:id="169950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5</Pages>
  <Words>1956</Words>
  <Characters>10762</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Matthieu</dc:creator>
  <cp:lastModifiedBy>Matthieu</cp:lastModifiedBy>
  <cp:revision>8</cp:revision>
  <dcterms:created xsi:type="dcterms:W3CDTF">2020-06-22T14:50:00Z</dcterms:created>
  <dcterms:modified xsi:type="dcterms:W3CDTF">2020-06-26T17:48:00Z</dcterms:modified>
</cp:coreProperties>
</file>