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EE" w:rsidRDefault="002F75EF" w:rsidP="00744156">
      <w:pPr>
        <w:jc w:val="center"/>
        <w:rPr>
          <w:b/>
          <w:sz w:val="36"/>
          <w:szCs w:val="36"/>
        </w:rPr>
      </w:pPr>
      <w:r>
        <w:rPr>
          <w:noProof/>
          <w:lang w:eastAsia="fr-FR"/>
        </w:rPr>
        <w:drawing>
          <wp:anchor distT="0" distB="0" distL="114300" distR="114300" simplePos="0" relativeHeight="251658240" behindDoc="0" locked="0" layoutInCell="1" allowOverlap="1">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156" w:rsidRPr="00744156">
        <w:rPr>
          <w:b/>
          <w:sz w:val="36"/>
          <w:szCs w:val="36"/>
        </w:rPr>
        <w:t>Revue de presse</w:t>
      </w:r>
      <w:r w:rsidR="00426D27">
        <w:rPr>
          <w:b/>
          <w:sz w:val="36"/>
          <w:szCs w:val="36"/>
        </w:rPr>
        <w:t xml:space="preserve"> du 27</w:t>
      </w:r>
      <w:r w:rsidR="00B55EB3">
        <w:rPr>
          <w:b/>
          <w:sz w:val="36"/>
          <w:szCs w:val="36"/>
        </w:rPr>
        <w:t>/03</w:t>
      </w:r>
      <w:r w:rsidR="008039C1">
        <w:rPr>
          <w:b/>
          <w:sz w:val="36"/>
          <w:szCs w:val="36"/>
        </w:rPr>
        <w:t>/2020</w:t>
      </w:r>
    </w:p>
    <w:p w:rsidR="002F75EF" w:rsidRDefault="002F75EF" w:rsidP="00744156">
      <w:pPr>
        <w:jc w:val="center"/>
        <w:rPr>
          <w:b/>
          <w:sz w:val="36"/>
          <w:szCs w:val="36"/>
        </w:rPr>
      </w:pPr>
    </w:p>
    <w:p w:rsidR="002F75EF" w:rsidRPr="00D61621" w:rsidRDefault="002F75EF" w:rsidP="00744156">
      <w:pPr>
        <w:jc w:val="center"/>
        <w:rPr>
          <w:b/>
        </w:rPr>
      </w:pPr>
    </w:p>
    <w:p w:rsidR="00D94074" w:rsidRDefault="00B55EB3" w:rsidP="00644C2E">
      <w:pPr>
        <w:spacing w:after="0"/>
      </w:pPr>
      <w:r w:rsidRPr="00B55EB3">
        <w:t>A</w:t>
      </w:r>
      <w:r>
        <w:t xml:space="preserve"> situation exceptionnelle : fonctionnement exceptionnel. </w:t>
      </w:r>
    </w:p>
    <w:p w:rsidR="00B55EB3" w:rsidRDefault="00B55EB3" w:rsidP="00644C2E">
      <w:pPr>
        <w:spacing w:after="0"/>
      </w:pPr>
      <w:r>
        <w:t xml:space="preserve">Du fait de l’épidémie de COVID-19, la revue de presse est quelque peu différente ce mois-ci. </w:t>
      </w:r>
    </w:p>
    <w:p w:rsidR="00B55EB3" w:rsidRDefault="00B55EB3" w:rsidP="00644C2E">
      <w:pPr>
        <w:spacing w:after="0"/>
      </w:pPr>
      <w:r>
        <w:t xml:space="preserve">Nous nous concentrerons sur l’infection au SARS-COV2 et sur les données actuelles de cette infection chez les patients atteints de cancer. </w:t>
      </w:r>
    </w:p>
    <w:p w:rsidR="009E29D4" w:rsidRDefault="009E29D4" w:rsidP="00644C2E">
      <w:pPr>
        <w:spacing w:after="0"/>
      </w:pPr>
      <w:r>
        <w:t xml:space="preserve">Nous vous avons également joint un rappel des différentes consignes et sources d’information utiles. </w:t>
      </w:r>
    </w:p>
    <w:p w:rsidR="00B55EB3" w:rsidRDefault="00B55EB3" w:rsidP="00644C2E">
      <w:pPr>
        <w:spacing w:after="0"/>
      </w:pPr>
      <w:r>
        <w:t xml:space="preserve">J’en profite pour vous souhaiter, à toutes et à tous, bon courage face aux épreuves actuelles et  à celles à venir. </w:t>
      </w:r>
    </w:p>
    <w:p w:rsidR="00B55EB3" w:rsidRDefault="00B55EB3" w:rsidP="00644C2E">
      <w:pPr>
        <w:spacing w:after="0"/>
      </w:pPr>
    </w:p>
    <w:p w:rsidR="00B55EB3" w:rsidRPr="009E29D4" w:rsidRDefault="00B55EB3" w:rsidP="00644C2E">
      <w:pPr>
        <w:spacing w:after="0"/>
        <w:jc w:val="right"/>
      </w:pPr>
      <w:r w:rsidRPr="009E29D4">
        <w:t xml:space="preserve">Matthieu </w:t>
      </w:r>
      <w:proofErr w:type="spellStart"/>
      <w:r w:rsidRPr="009E29D4">
        <w:t>Delaye</w:t>
      </w:r>
      <w:proofErr w:type="spellEnd"/>
      <w:r w:rsidRPr="009E29D4">
        <w:t xml:space="preserve"> </w:t>
      </w:r>
    </w:p>
    <w:p w:rsidR="00B55EB3" w:rsidRPr="009E29D4" w:rsidRDefault="00B55EB3" w:rsidP="00644C2E">
      <w:pPr>
        <w:spacing w:after="0"/>
      </w:pPr>
    </w:p>
    <w:p w:rsidR="00744156" w:rsidRPr="00B55EB3" w:rsidRDefault="00744156" w:rsidP="00644C2E">
      <w:pPr>
        <w:spacing w:after="0"/>
        <w:rPr>
          <w:b/>
        </w:rPr>
      </w:pPr>
      <w:r w:rsidRPr="00B55EB3">
        <w:rPr>
          <w:b/>
        </w:rPr>
        <w:t xml:space="preserve">Participants : </w:t>
      </w:r>
      <w:proofErr w:type="spellStart"/>
      <w:r w:rsidR="00AA1217" w:rsidRPr="00B55EB3">
        <w:rPr>
          <w:b/>
        </w:rPr>
        <w:t>Léah</w:t>
      </w:r>
      <w:proofErr w:type="spellEnd"/>
      <w:r w:rsidR="00AA1217" w:rsidRPr="00B55EB3">
        <w:rPr>
          <w:b/>
        </w:rPr>
        <w:t xml:space="preserve"> </w:t>
      </w:r>
      <w:proofErr w:type="spellStart"/>
      <w:r w:rsidR="00AA1217" w:rsidRPr="00B55EB3">
        <w:rPr>
          <w:b/>
        </w:rPr>
        <w:t>Mailly-Giacchetti</w:t>
      </w:r>
      <w:proofErr w:type="spellEnd"/>
      <w:r w:rsidR="00AA1217" w:rsidRPr="00B55EB3">
        <w:rPr>
          <w:b/>
        </w:rPr>
        <w:t>,</w:t>
      </w:r>
      <w:r w:rsidR="00B55EB3" w:rsidRPr="00B55EB3">
        <w:rPr>
          <w:b/>
        </w:rPr>
        <w:t xml:space="preserve"> </w:t>
      </w:r>
      <w:r w:rsidR="00AA1217" w:rsidRPr="00B55EB3">
        <w:rPr>
          <w:b/>
        </w:rPr>
        <w:t xml:space="preserve">Matthieu </w:t>
      </w:r>
      <w:proofErr w:type="spellStart"/>
      <w:r w:rsidR="00AA1217" w:rsidRPr="00B55EB3">
        <w:rPr>
          <w:b/>
        </w:rPr>
        <w:t>Delaye</w:t>
      </w:r>
      <w:proofErr w:type="spellEnd"/>
    </w:p>
    <w:p w:rsidR="004A6E6B" w:rsidRPr="00B55EB3" w:rsidRDefault="004A6E6B" w:rsidP="00644C2E">
      <w:pPr>
        <w:spacing w:after="0"/>
      </w:pPr>
    </w:p>
    <w:p w:rsidR="00B55EB3" w:rsidRPr="009E29D4" w:rsidRDefault="00B55EB3" w:rsidP="00644C2E">
      <w:pPr>
        <w:tabs>
          <w:tab w:val="center" w:pos="4536"/>
        </w:tabs>
        <w:spacing w:after="0"/>
        <w:jc w:val="center"/>
        <w:rPr>
          <w:b/>
          <w:u w:val="single"/>
        </w:rPr>
      </w:pPr>
    </w:p>
    <w:p w:rsidR="00BA0647" w:rsidRDefault="00744156" w:rsidP="00644C2E">
      <w:pPr>
        <w:tabs>
          <w:tab w:val="center" w:pos="4536"/>
        </w:tabs>
        <w:spacing w:after="0"/>
        <w:jc w:val="center"/>
        <w:rPr>
          <w:b/>
          <w:u w:val="single"/>
        </w:rPr>
      </w:pPr>
      <w:r w:rsidRPr="009E29D4">
        <w:rPr>
          <w:b/>
          <w:u w:val="single"/>
        </w:rPr>
        <w:t>Articles sélectionnés :</w:t>
      </w:r>
    </w:p>
    <w:p w:rsidR="000507D9" w:rsidRDefault="000507D9" w:rsidP="00644C2E">
      <w:pPr>
        <w:tabs>
          <w:tab w:val="center" w:pos="4536"/>
        </w:tabs>
        <w:spacing w:after="0"/>
        <w:jc w:val="center"/>
        <w:rPr>
          <w:b/>
          <w:u w:val="single"/>
        </w:rPr>
      </w:pPr>
    </w:p>
    <w:p w:rsidR="000507D9" w:rsidRPr="009E29D4" w:rsidRDefault="000507D9" w:rsidP="00644C2E">
      <w:pPr>
        <w:tabs>
          <w:tab w:val="center" w:pos="4536"/>
        </w:tabs>
        <w:spacing w:after="0"/>
        <w:jc w:val="center"/>
        <w:rPr>
          <w:b/>
          <w:u w:val="single"/>
        </w:rPr>
      </w:pPr>
    </w:p>
    <w:p w:rsidR="00E71E12" w:rsidRPr="004D47B5" w:rsidRDefault="00E71E12" w:rsidP="00E71E12">
      <w:pPr>
        <w:rPr>
          <w:b/>
          <w:u w:val="single"/>
        </w:rPr>
      </w:pPr>
      <w:r w:rsidRPr="004D47B5">
        <w:rPr>
          <w:b/>
          <w:u w:val="single"/>
        </w:rPr>
        <w:t>1/ Généralités : « Fiche d’identité du COVID-19 »</w:t>
      </w:r>
    </w:p>
    <w:p w:rsidR="00E71E12" w:rsidRDefault="00E71E12" w:rsidP="00E71E12">
      <w:pPr>
        <w:spacing w:after="0"/>
      </w:pPr>
      <w:r>
        <w:t xml:space="preserve">Covid-19, virus à ARN, appartient  à la famille des </w:t>
      </w:r>
      <w:proofErr w:type="spellStart"/>
      <w:r w:rsidRPr="00856867">
        <w:rPr>
          <w:i/>
        </w:rPr>
        <w:t>coronaviridae</w:t>
      </w:r>
      <w:proofErr w:type="spellEnd"/>
      <w:r>
        <w:t xml:space="preserve"> tout comme le SARS (épidémie de 2002 avec &gt;8000 infectés et 774 morts dans le monde), et le MERS-</w:t>
      </w:r>
      <w:proofErr w:type="spellStart"/>
      <w:r>
        <w:t>CoV</w:t>
      </w:r>
      <w:proofErr w:type="spellEnd"/>
      <w:r>
        <w:t xml:space="preserve"> (détecté en  2012 responsable de 2494 infecté et 858 morts à l’heure actuelle). </w:t>
      </w:r>
    </w:p>
    <w:p w:rsidR="00E71E12" w:rsidRDefault="00E71E12" w:rsidP="00E71E12">
      <w:pPr>
        <w:spacing w:after="0"/>
      </w:pPr>
      <w:r>
        <w:t xml:space="preserve">Réservoir : chauve- souris ; hôte l’intermédiaire Pangolin </w:t>
      </w:r>
    </w:p>
    <w:p w:rsidR="00E71E12" w:rsidRDefault="00E71E12" w:rsidP="00E71E12">
      <w:pPr>
        <w:spacing w:after="0"/>
      </w:pPr>
      <w:r>
        <w:t xml:space="preserve">Transmission: contact, gouttelettes, air (possiblement chez les patients très symptomatiques, graves), oraux-fécale (cas de diarrhée avec virémie positive dans les selles). </w:t>
      </w:r>
    </w:p>
    <w:p w:rsidR="00E71E12" w:rsidRDefault="00E71E12" w:rsidP="00E71E12">
      <w:pPr>
        <w:spacing w:after="0"/>
      </w:pPr>
      <w:r>
        <w:t xml:space="preserve">R0 : 2.75 en moyenne (pour rappel, R0 de la grippe : 1.4-2 ; R0 15-20) </w:t>
      </w:r>
    </w:p>
    <w:p w:rsidR="00E71E12" w:rsidRDefault="00E71E12" w:rsidP="00E71E12">
      <w:pPr>
        <w:spacing w:after="0"/>
      </w:pPr>
      <w:r>
        <w:t xml:space="preserve">Incubation : 3 à 7J, jusqu’à 14 jours.   </w:t>
      </w:r>
    </w:p>
    <w:p w:rsidR="00E71E12" w:rsidRDefault="00E71E12" w:rsidP="00E71E12">
      <w:pPr>
        <w:spacing w:after="0"/>
      </w:pPr>
      <w:r>
        <w:t>Contagiosité : J-14 à J+14, contagiosité semble moins importante après J7</w:t>
      </w:r>
    </w:p>
    <w:p w:rsidR="00E71E12" w:rsidRDefault="00E71E12" w:rsidP="00E71E12">
      <w:pPr>
        <w:spacing w:after="0"/>
      </w:pPr>
      <w:r>
        <w:t xml:space="preserve">Durée de vie dans environnement : plastic/acier autour 3J &gt; carton autour 24h &gt; air environ 4h </w:t>
      </w:r>
    </w:p>
    <w:p w:rsidR="00E71E12" w:rsidRDefault="00E71E12" w:rsidP="00E71E12">
      <w:pPr>
        <w:spacing w:after="0"/>
      </w:pPr>
      <w:r>
        <w:t xml:space="preserve">Diagnostic par : RT-PCR  sur prélèvement </w:t>
      </w:r>
      <w:proofErr w:type="spellStart"/>
      <w:r>
        <w:t>naso</w:t>
      </w:r>
      <w:proofErr w:type="spellEnd"/>
      <w:r>
        <w:t xml:space="preserve">-pharyngé le plus souvent (diminution de la </w:t>
      </w:r>
      <w:proofErr w:type="spellStart"/>
      <w:r>
        <w:t>sensibilté</w:t>
      </w:r>
      <w:proofErr w:type="spellEnd"/>
      <w:r>
        <w:t xml:space="preserve"> du test du fait de la qualité des prélèvements)</w:t>
      </w:r>
    </w:p>
    <w:p w:rsidR="00E71E12" w:rsidRDefault="00E71E12" w:rsidP="00E71E12">
      <w:pPr>
        <w:spacing w:after="0"/>
      </w:pPr>
      <w:r>
        <w:t>Affinité du virus pour les cellules épithé</w:t>
      </w:r>
      <w:r w:rsidR="008E2906">
        <w:t>liales, liaison au récepteur de l’</w:t>
      </w:r>
      <w:r>
        <w:t>ECA  présents en quantité sur l’épithélium respiratoire et sur les entérocytes.</w:t>
      </w:r>
    </w:p>
    <w:p w:rsidR="00E71E12" w:rsidRDefault="00E71E12" w:rsidP="00E71E12">
      <w:pPr>
        <w:spacing w:before="240" w:after="0"/>
      </w:pPr>
      <w:r>
        <w:t xml:space="preserve">Clinique : </w:t>
      </w:r>
      <w:r w:rsidRPr="00DA1C84">
        <w:t>anosmie-agueusie</w:t>
      </w:r>
      <w:r>
        <w:t xml:space="preserve"> brutale sans congestion nasale : signe pathognomonique !!, fièvre, courbature, toux, diarrhée (virémie positive) et vomissement (environ 3% formes révélatrices), dyspnée, DRA, SDRA. Plusieurs tableaux de confusion, PL négative sans virémie.  </w:t>
      </w:r>
    </w:p>
    <w:p w:rsidR="00E71E12" w:rsidRDefault="00E71E12" w:rsidP="00E71E12">
      <w:pPr>
        <w:spacing w:before="240" w:after="0"/>
      </w:pPr>
      <w:r>
        <w:t xml:space="preserve">ATTENTION A L’AGGRAVATION BRUTALE J7-J10 possible. </w:t>
      </w:r>
    </w:p>
    <w:p w:rsidR="00E71E12" w:rsidRDefault="00E71E12" w:rsidP="00E71E12">
      <w:pPr>
        <w:spacing w:before="240" w:after="0"/>
      </w:pPr>
      <w:r>
        <w:lastRenderedPageBreak/>
        <w:t xml:space="preserve">Surinfections nosocomiale, </w:t>
      </w:r>
      <w:proofErr w:type="spellStart"/>
      <w:r>
        <w:t>aspergillaires</w:t>
      </w:r>
      <w:proofErr w:type="spellEnd"/>
      <w:r>
        <w:t xml:space="preserve"> fréquentes, facteur de gravité chez les patients  en réanimation. </w:t>
      </w:r>
    </w:p>
    <w:p w:rsidR="00E71E12" w:rsidRDefault="00E71E12" w:rsidP="00E71E12">
      <w:pPr>
        <w:spacing w:after="0"/>
      </w:pPr>
      <w:r>
        <w:t xml:space="preserve">Biologie : </w:t>
      </w:r>
      <w:r w:rsidRPr="00DA1C84">
        <w:rPr>
          <w:b/>
        </w:rPr>
        <w:t>lymphopénie profonde</w:t>
      </w:r>
      <w:r>
        <w:rPr>
          <w:b/>
        </w:rPr>
        <w:t xml:space="preserve"> notamment des CD4 et CD8,</w:t>
      </w:r>
      <w:r>
        <w:t xml:space="preserve"> possible thrombopénie et allongement du TP, augmentation transaminases rare. SAM chez les patients en réa. </w:t>
      </w:r>
    </w:p>
    <w:p w:rsidR="00E71E12" w:rsidRDefault="00E71E12" w:rsidP="00E71E12">
      <w:pPr>
        <w:spacing w:after="0"/>
      </w:pPr>
      <w:r>
        <w:t>Imagerie de Référence : Scanner thoracique (</w:t>
      </w:r>
      <w:proofErr w:type="spellStart"/>
      <w:r>
        <w:t>Se</w:t>
      </w:r>
      <w:proofErr w:type="spellEnd"/>
      <w:r>
        <w:t xml:space="preserve"> 97%) syndrome interstitiel diffus (larges plages verre dépoli (1</w:t>
      </w:r>
      <w:r w:rsidRPr="00DA1C84">
        <w:rPr>
          <w:vertAlign w:val="superscript"/>
        </w:rPr>
        <w:t>er</w:t>
      </w:r>
      <w:r>
        <w:t xml:space="preserve"> signe) distribution périphérique et sous pleurale. Epanchements pleuraux (virémie élevée dans le liquide de ponction++). Pour les formes graves en réanimation, possible bronchectasie enkystée, péricardite (5%).   </w:t>
      </w:r>
    </w:p>
    <w:p w:rsidR="00E71E12" w:rsidRDefault="00E71E12" w:rsidP="00E71E12">
      <w:pPr>
        <w:spacing w:after="0"/>
      </w:pPr>
      <w:r>
        <w:t xml:space="preserve">Possible </w:t>
      </w:r>
      <w:proofErr w:type="gramStart"/>
      <w:r>
        <w:t>scanner</w:t>
      </w:r>
      <w:proofErr w:type="gramEnd"/>
      <w:r>
        <w:t xml:space="preserve"> « positif » chez des patients à RT-PCR négative, il faut considérer ces patients comme COVID positif. </w:t>
      </w:r>
    </w:p>
    <w:p w:rsidR="00E71E12" w:rsidRDefault="00E71E12" w:rsidP="00E71E12"/>
    <w:p w:rsidR="00CD15C9" w:rsidRPr="008E2906" w:rsidRDefault="00CD15C9" w:rsidP="00CD15C9">
      <w:r w:rsidRPr="008E2906">
        <w:t xml:space="preserve">Sources : </w:t>
      </w:r>
    </w:p>
    <w:p w:rsidR="00CD15C9" w:rsidRPr="008E2906" w:rsidRDefault="00CD15C9" w:rsidP="00CD15C9">
      <w:pPr>
        <w:rPr>
          <w:rFonts w:cs="Arial"/>
          <w:sz w:val="20"/>
          <w:szCs w:val="20"/>
          <w:shd w:val="clear" w:color="auto" w:fill="FFFFFF"/>
          <w:lang w:val="en-US"/>
        </w:rPr>
      </w:pPr>
      <w:r w:rsidRPr="008E2906">
        <w:rPr>
          <w:rFonts w:cs="Arial"/>
          <w:sz w:val="20"/>
          <w:szCs w:val="20"/>
          <w:shd w:val="clear" w:color="auto" w:fill="FFFFFF"/>
        </w:rPr>
        <w:t xml:space="preserve">Lu, R., Zhao, X., Li, J., </w:t>
      </w:r>
      <w:proofErr w:type="spellStart"/>
      <w:r w:rsidRPr="008E2906">
        <w:rPr>
          <w:rFonts w:cs="Arial"/>
          <w:sz w:val="20"/>
          <w:szCs w:val="20"/>
          <w:shd w:val="clear" w:color="auto" w:fill="FFFFFF"/>
        </w:rPr>
        <w:t>Niu</w:t>
      </w:r>
      <w:proofErr w:type="spellEnd"/>
      <w:r w:rsidRPr="008E2906">
        <w:rPr>
          <w:rFonts w:cs="Arial"/>
          <w:sz w:val="20"/>
          <w:szCs w:val="20"/>
          <w:shd w:val="clear" w:color="auto" w:fill="FFFFFF"/>
        </w:rPr>
        <w:t xml:space="preserve">, P., Yang, B., Wu, H., ... </w:t>
      </w:r>
      <w:r w:rsidRPr="008E2906">
        <w:rPr>
          <w:rFonts w:cs="Arial"/>
          <w:sz w:val="20"/>
          <w:szCs w:val="20"/>
          <w:shd w:val="clear" w:color="auto" w:fill="FFFFFF"/>
          <w:lang w:val="en-US"/>
        </w:rPr>
        <w:t xml:space="preserve">&amp; Bi, Y. (2020). Genomic </w:t>
      </w:r>
      <w:proofErr w:type="spellStart"/>
      <w:r w:rsidRPr="008E2906">
        <w:rPr>
          <w:rFonts w:cs="Arial"/>
          <w:sz w:val="20"/>
          <w:szCs w:val="20"/>
          <w:shd w:val="clear" w:color="auto" w:fill="FFFFFF"/>
          <w:lang w:val="en-US"/>
        </w:rPr>
        <w:t>characterisation</w:t>
      </w:r>
      <w:proofErr w:type="spellEnd"/>
      <w:r w:rsidRPr="008E2906">
        <w:rPr>
          <w:rFonts w:cs="Arial"/>
          <w:sz w:val="20"/>
          <w:szCs w:val="20"/>
          <w:shd w:val="clear" w:color="auto" w:fill="FFFFFF"/>
          <w:lang w:val="en-US"/>
        </w:rPr>
        <w:t xml:space="preserve"> and epidemiology of 2019 novel coronavirus: implications for virus origins and receptor binding. </w:t>
      </w:r>
      <w:r w:rsidRPr="008E2906">
        <w:rPr>
          <w:rFonts w:cs="Arial"/>
          <w:i/>
          <w:iCs/>
          <w:sz w:val="20"/>
          <w:szCs w:val="20"/>
          <w:shd w:val="clear" w:color="auto" w:fill="FFFFFF"/>
          <w:lang w:val="en-US"/>
        </w:rPr>
        <w:t>The Lancet</w:t>
      </w:r>
      <w:r w:rsidRPr="008E2906">
        <w:rPr>
          <w:rFonts w:cs="Arial"/>
          <w:sz w:val="20"/>
          <w:szCs w:val="20"/>
          <w:shd w:val="clear" w:color="auto" w:fill="FFFFFF"/>
          <w:lang w:val="en-US"/>
        </w:rPr>
        <w:t>, </w:t>
      </w:r>
      <w:r w:rsidRPr="008E2906">
        <w:rPr>
          <w:rFonts w:cs="Arial"/>
          <w:i/>
          <w:iCs/>
          <w:sz w:val="20"/>
          <w:szCs w:val="20"/>
          <w:shd w:val="clear" w:color="auto" w:fill="FFFFFF"/>
          <w:lang w:val="en-US"/>
        </w:rPr>
        <w:t>395</w:t>
      </w:r>
      <w:r w:rsidRPr="008E2906">
        <w:rPr>
          <w:rFonts w:cs="Arial"/>
          <w:sz w:val="20"/>
          <w:szCs w:val="20"/>
          <w:shd w:val="clear" w:color="auto" w:fill="FFFFFF"/>
          <w:lang w:val="en-US"/>
        </w:rPr>
        <w:t>(10224), 565-574.</w:t>
      </w:r>
    </w:p>
    <w:p w:rsidR="00CD15C9" w:rsidRPr="008E2906" w:rsidRDefault="00CD15C9" w:rsidP="00CD15C9">
      <w:pPr>
        <w:rPr>
          <w:rFonts w:cs="Arial"/>
          <w:sz w:val="20"/>
          <w:szCs w:val="20"/>
          <w:shd w:val="clear" w:color="auto" w:fill="FFFFFF"/>
          <w:lang w:val="en-US"/>
        </w:rPr>
      </w:pPr>
      <w:r w:rsidRPr="008E2906">
        <w:rPr>
          <w:rFonts w:cs="Arial"/>
          <w:sz w:val="20"/>
          <w:szCs w:val="20"/>
          <w:shd w:val="clear" w:color="auto" w:fill="FFFFFF"/>
          <w:lang w:val="en-US"/>
        </w:rPr>
        <w:t xml:space="preserve">Jin, Y. H., </w:t>
      </w:r>
      <w:proofErr w:type="spellStart"/>
      <w:r w:rsidRPr="008E2906">
        <w:rPr>
          <w:rFonts w:cs="Arial"/>
          <w:sz w:val="20"/>
          <w:szCs w:val="20"/>
          <w:shd w:val="clear" w:color="auto" w:fill="FFFFFF"/>
          <w:lang w:val="en-US"/>
        </w:rPr>
        <w:t>Cai</w:t>
      </w:r>
      <w:proofErr w:type="spellEnd"/>
      <w:r w:rsidRPr="008E2906">
        <w:rPr>
          <w:rFonts w:cs="Arial"/>
          <w:sz w:val="20"/>
          <w:szCs w:val="20"/>
          <w:shd w:val="clear" w:color="auto" w:fill="FFFFFF"/>
          <w:lang w:val="en-US"/>
        </w:rPr>
        <w:t>, L., Cheng, Z. S., Cheng, H., Deng, T., Fan, Y. P</w:t>
      </w:r>
      <w:proofErr w:type="gramStart"/>
      <w:r w:rsidRPr="008E2906">
        <w:rPr>
          <w:rFonts w:cs="Arial"/>
          <w:sz w:val="20"/>
          <w:szCs w:val="20"/>
          <w:shd w:val="clear" w:color="auto" w:fill="FFFFFF"/>
          <w:lang w:val="en-US"/>
        </w:rPr>
        <w:t>., ...</w:t>
      </w:r>
      <w:proofErr w:type="gramEnd"/>
      <w:r w:rsidRPr="008E2906">
        <w:rPr>
          <w:rFonts w:cs="Arial"/>
          <w:sz w:val="20"/>
          <w:szCs w:val="20"/>
          <w:shd w:val="clear" w:color="auto" w:fill="FFFFFF"/>
          <w:lang w:val="en-US"/>
        </w:rPr>
        <w:t xml:space="preserve"> &amp; Han, Y. (2020). A rapid advice guideline for the diagnosis and treatment of 2019 novel coronavirus (2019-nCoV) infected pneumonia (standard version). </w:t>
      </w:r>
      <w:proofErr w:type="gramStart"/>
      <w:r w:rsidRPr="008E2906">
        <w:rPr>
          <w:rFonts w:cs="Arial"/>
          <w:i/>
          <w:iCs/>
          <w:sz w:val="20"/>
          <w:szCs w:val="20"/>
          <w:shd w:val="clear" w:color="auto" w:fill="FFFFFF"/>
          <w:lang w:val="en-US"/>
        </w:rPr>
        <w:t>Military Medical Research</w:t>
      </w:r>
      <w:r w:rsidRPr="008E2906">
        <w:rPr>
          <w:rFonts w:cs="Arial"/>
          <w:sz w:val="20"/>
          <w:szCs w:val="20"/>
          <w:shd w:val="clear" w:color="auto" w:fill="FFFFFF"/>
          <w:lang w:val="en-US"/>
        </w:rPr>
        <w:t>, </w:t>
      </w:r>
      <w:r w:rsidRPr="008E2906">
        <w:rPr>
          <w:rFonts w:cs="Arial"/>
          <w:i/>
          <w:iCs/>
          <w:sz w:val="20"/>
          <w:szCs w:val="20"/>
          <w:shd w:val="clear" w:color="auto" w:fill="FFFFFF"/>
          <w:lang w:val="en-US"/>
        </w:rPr>
        <w:t>7</w:t>
      </w:r>
      <w:r w:rsidRPr="008E2906">
        <w:rPr>
          <w:rFonts w:cs="Arial"/>
          <w:sz w:val="20"/>
          <w:szCs w:val="20"/>
          <w:shd w:val="clear" w:color="auto" w:fill="FFFFFF"/>
          <w:lang w:val="en-US"/>
        </w:rPr>
        <w:t>(1), 4.</w:t>
      </w:r>
      <w:proofErr w:type="gramEnd"/>
    </w:p>
    <w:p w:rsidR="00CD15C9" w:rsidRPr="008E2906" w:rsidRDefault="00CD15C9" w:rsidP="00CD15C9">
      <w:pPr>
        <w:rPr>
          <w:rFonts w:cs="Arial"/>
          <w:sz w:val="20"/>
          <w:szCs w:val="20"/>
          <w:shd w:val="clear" w:color="auto" w:fill="FFFFFF"/>
          <w:lang w:val="en-US"/>
        </w:rPr>
      </w:pPr>
      <w:proofErr w:type="gramStart"/>
      <w:r w:rsidRPr="008E2906">
        <w:rPr>
          <w:rFonts w:cs="Arial"/>
          <w:sz w:val="20"/>
          <w:szCs w:val="20"/>
          <w:shd w:val="clear" w:color="auto" w:fill="FFFFFF"/>
          <w:lang w:val="en-US"/>
        </w:rPr>
        <w:t>van</w:t>
      </w:r>
      <w:proofErr w:type="gramEnd"/>
      <w:r w:rsidRPr="008E2906">
        <w:rPr>
          <w:rFonts w:cs="Arial"/>
          <w:sz w:val="20"/>
          <w:szCs w:val="20"/>
          <w:shd w:val="clear" w:color="auto" w:fill="FFFFFF"/>
          <w:lang w:val="en-US"/>
        </w:rPr>
        <w:t xml:space="preserve"> </w:t>
      </w:r>
      <w:proofErr w:type="spellStart"/>
      <w:r w:rsidRPr="008E2906">
        <w:rPr>
          <w:rFonts w:cs="Arial"/>
          <w:sz w:val="20"/>
          <w:szCs w:val="20"/>
          <w:shd w:val="clear" w:color="auto" w:fill="FFFFFF"/>
          <w:lang w:val="en-US"/>
        </w:rPr>
        <w:t>Doremalen</w:t>
      </w:r>
      <w:proofErr w:type="spellEnd"/>
      <w:r w:rsidRPr="008E2906">
        <w:rPr>
          <w:rFonts w:cs="Arial"/>
          <w:sz w:val="20"/>
          <w:szCs w:val="20"/>
          <w:shd w:val="clear" w:color="auto" w:fill="FFFFFF"/>
          <w:lang w:val="en-US"/>
        </w:rPr>
        <w:t xml:space="preserve">, N., </w:t>
      </w:r>
      <w:proofErr w:type="spellStart"/>
      <w:r w:rsidRPr="008E2906">
        <w:rPr>
          <w:rFonts w:cs="Arial"/>
          <w:sz w:val="20"/>
          <w:szCs w:val="20"/>
          <w:shd w:val="clear" w:color="auto" w:fill="FFFFFF"/>
          <w:lang w:val="en-US"/>
        </w:rPr>
        <w:t>Bushmaker</w:t>
      </w:r>
      <w:proofErr w:type="spellEnd"/>
      <w:r w:rsidRPr="008E2906">
        <w:rPr>
          <w:rFonts w:cs="Arial"/>
          <w:sz w:val="20"/>
          <w:szCs w:val="20"/>
          <w:shd w:val="clear" w:color="auto" w:fill="FFFFFF"/>
          <w:lang w:val="en-US"/>
        </w:rPr>
        <w:t xml:space="preserve">, T., Morris, D. H., Holbrook, M. G., Gamble, A., Williamson, B. N., ... &amp; Lloyd-Smith, J. O. (2020). </w:t>
      </w:r>
      <w:proofErr w:type="gramStart"/>
      <w:r w:rsidRPr="008E2906">
        <w:rPr>
          <w:rFonts w:cs="Arial"/>
          <w:sz w:val="20"/>
          <w:szCs w:val="20"/>
          <w:shd w:val="clear" w:color="auto" w:fill="FFFFFF"/>
          <w:lang w:val="en-US"/>
        </w:rPr>
        <w:t>Aerosol and Surface Stability of SARS-CoV-2 as Compared with SARS-CoV-1.</w:t>
      </w:r>
      <w:proofErr w:type="gramEnd"/>
      <w:r w:rsidRPr="008E2906">
        <w:rPr>
          <w:rFonts w:cs="Arial"/>
          <w:sz w:val="20"/>
          <w:szCs w:val="20"/>
          <w:shd w:val="clear" w:color="auto" w:fill="FFFFFF"/>
          <w:lang w:val="en-US"/>
        </w:rPr>
        <w:t> </w:t>
      </w:r>
      <w:proofErr w:type="gramStart"/>
      <w:r w:rsidRPr="008E2906">
        <w:rPr>
          <w:rFonts w:cs="Arial"/>
          <w:i/>
          <w:iCs/>
          <w:sz w:val="20"/>
          <w:szCs w:val="20"/>
          <w:shd w:val="clear" w:color="auto" w:fill="FFFFFF"/>
          <w:lang w:val="en-US"/>
        </w:rPr>
        <w:t>New England Journal of Medicine</w:t>
      </w:r>
      <w:r w:rsidRPr="008E2906">
        <w:rPr>
          <w:rFonts w:cs="Arial"/>
          <w:sz w:val="20"/>
          <w:szCs w:val="20"/>
          <w:shd w:val="clear" w:color="auto" w:fill="FFFFFF"/>
          <w:lang w:val="en-US"/>
        </w:rPr>
        <w:t>.</w:t>
      </w:r>
      <w:proofErr w:type="gramEnd"/>
    </w:p>
    <w:p w:rsidR="00CD15C9" w:rsidRPr="008E2906" w:rsidRDefault="00CD15C9" w:rsidP="00CD15C9">
      <w:pPr>
        <w:rPr>
          <w:lang w:val="en-US"/>
        </w:rPr>
      </w:pPr>
      <w:proofErr w:type="gramStart"/>
      <w:r w:rsidRPr="008E2906">
        <w:rPr>
          <w:rFonts w:cs="Arial"/>
          <w:sz w:val="20"/>
          <w:szCs w:val="20"/>
          <w:shd w:val="clear" w:color="auto" w:fill="FFFFFF"/>
          <w:lang w:val="en-US"/>
        </w:rPr>
        <w:t>Ye, Z., Zhang, Y., Wang, Y., Huang, Z., &amp; Song, B. (2020).</w:t>
      </w:r>
      <w:proofErr w:type="gramEnd"/>
      <w:r w:rsidRPr="008E2906">
        <w:rPr>
          <w:rFonts w:cs="Arial"/>
          <w:sz w:val="20"/>
          <w:szCs w:val="20"/>
          <w:shd w:val="clear" w:color="auto" w:fill="FFFFFF"/>
          <w:lang w:val="en-US"/>
        </w:rPr>
        <w:t xml:space="preserve"> Chest CT manifestations of new coronavirus disease 2019 (COVID-19): a pictorial review. </w:t>
      </w:r>
      <w:r w:rsidRPr="008E2906">
        <w:rPr>
          <w:rFonts w:cs="Arial"/>
          <w:i/>
          <w:iCs/>
          <w:sz w:val="20"/>
          <w:szCs w:val="20"/>
          <w:shd w:val="clear" w:color="auto" w:fill="FFFFFF"/>
          <w:lang w:val="en-US"/>
        </w:rPr>
        <w:t>European Radiology</w:t>
      </w:r>
      <w:r w:rsidRPr="008E2906">
        <w:rPr>
          <w:rFonts w:cs="Arial"/>
          <w:sz w:val="20"/>
          <w:szCs w:val="20"/>
          <w:shd w:val="clear" w:color="auto" w:fill="FFFFFF"/>
          <w:lang w:val="en-US"/>
        </w:rPr>
        <w:t>, 1-9.</w:t>
      </w:r>
    </w:p>
    <w:p w:rsidR="00CD15C9" w:rsidRPr="008E2906" w:rsidRDefault="00CD15C9" w:rsidP="00CD15C9">
      <w:pPr>
        <w:rPr>
          <w:lang w:val="en-US"/>
        </w:rPr>
      </w:pPr>
      <w:proofErr w:type="spellStart"/>
      <w:r w:rsidRPr="008E2906">
        <w:rPr>
          <w:lang w:val="en-US"/>
        </w:rPr>
        <w:t>Chaine</w:t>
      </w:r>
      <w:proofErr w:type="spellEnd"/>
      <w:r w:rsidRPr="008E2906">
        <w:rPr>
          <w:lang w:val="en-US"/>
        </w:rPr>
        <w:t xml:space="preserve"> </w:t>
      </w:r>
      <w:proofErr w:type="spellStart"/>
      <w:r w:rsidRPr="008E2906">
        <w:rPr>
          <w:lang w:val="en-US"/>
        </w:rPr>
        <w:t>youtube</w:t>
      </w:r>
      <w:proofErr w:type="spellEnd"/>
      <w:r w:rsidRPr="008E2906">
        <w:rPr>
          <w:lang w:val="en-US"/>
        </w:rPr>
        <w:t xml:space="preserve"> SRLF, Webinar </w:t>
      </w:r>
      <w:proofErr w:type="spellStart"/>
      <w:r w:rsidRPr="008E2906">
        <w:rPr>
          <w:lang w:val="en-US"/>
        </w:rPr>
        <w:t>Pr</w:t>
      </w:r>
      <w:proofErr w:type="spellEnd"/>
      <w:r w:rsidRPr="008E2906">
        <w:rPr>
          <w:lang w:val="en-US"/>
        </w:rPr>
        <w:t xml:space="preserve"> TIMSIT</w:t>
      </w:r>
    </w:p>
    <w:p w:rsidR="00CD15C9" w:rsidRPr="008E2906" w:rsidRDefault="00CD15C9" w:rsidP="00CD15C9">
      <w:pPr>
        <w:rPr>
          <w:lang w:val="en-US"/>
        </w:rPr>
      </w:pPr>
      <w:proofErr w:type="gramStart"/>
      <w:r w:rsidRPr="008E2906">
        <w:rPr>
          <w:rFonts w:cs="Arial"/>
          <w:sz w:val="20"/>
          <w:szCs w:val="20"/>
          <w:shd w:val="clear" w:color="auto" w:fill="FFFFFF"/>
          <w:lang w:val="en-US"/>
        </w:rPr>
        <w:t>Al-</w:t>
      </w:r>
      <w:proofErr w:type="spellStart"/>
      <w:r w:rsidRPr="008E2906">
        <w:rPr>
          <w:rFonts w:cs="Arial"/>
          <w:sz w:val="20"/>
          <w:szCs w:val="20"/>
          <w:shd w:val="clear" w:color="auto" w:fill="FFFFFF"/>
          <w:lang w:val="en-US"/>
        </w:rPr>
        <w:t>Tawfiq</w:t>
      </w:r>
      <w:proofErr w:type="spellEnd"/>
      <w:r w:rsidRPr="008E2906">
        <w:rPr>
          <w:rFonts w:cs="Arial"/>
          <w:sz w:val="20"/>
          <w:szCs w:val="20"/>
          <w:shd w:val="clear" w:color="auto" w:fill="FFFFFF"/>
          <w:lang w:val="en-US"/>
        </w:rPr>
        <w:t>, J. A., Al-</w:t>
      </w:r>
      <w:proofErr w:type="spellStart"/>
      <w:r w:rsidRPr="008E2906">
        <w:rPr>
          <w:rFonts w:cs="Arial"/>
          <w:sz w:val="20"/>
          <w:szCs w:val="20"/>
          <w:shd w:val="clear" w:color="auto" w:fill="FFFFFF"/>
          <w:lang w:val="en-US"/>
        </w:rPr>
        <w:t>Homoud</w:t>
      </w:r>
      <w:proofErr w:type="spellEnd"/>
      <w:r w:rsidRPr="008E2906">
        <w:rPr>
          <w:rFonts w:cs="Arial"/>
          <w:sz w:val="20"/>
          <w:szCs w:val="20"/>
          <w:shd w:val="clear" w:color="auto" w:fill="FFFFFF"/>
          <w:lang w:val="en-US"/>
        </w:rPr>
        <w:t xml:space="preserve">, A. H., &amp; </w:t>
      </w:r>
      <w:proofErr w:type="spellStart"/>
      <w:r w:rsidRPr="008E2906">
        <w:rPr>
          <w:rFonts w:cs="Arial"/>
          <w:sz w:val="20"/>
          <w:szCs w:val="20"/>
          <w:shd w:val="clear" w:color="auto" w:fill="FFFFFF"/>
          <w:lang w:val="en-US"/>
        </w:rPr>
        <w:t>Memish</w:t>
      </w:r>
      <w:proofErr w:type="spellEnd"/>
      <w:r w:rsidRPr="008E2906">
        <w:rPr>
          <w:rFonts w:cs="Arial"/>
          <w:sz w:val="20"/>
          <w:szCs w:val="20"/>
          <w:shd w:val="clear" w:color="auto" w:fill="FFFFFF"/>
          <w:lang w:val="en-US"/>
        </w:rPr>
        <w:t>, Z. A. (2020).</w:t>
      </w:r>
      <w:proofErr w:type="gramEnd"/>
      <w:r w:rsidRPr="008E2906">
        <w:rPr>
          <w:rFonts w:cs="Arial"/>
          <w:sz w:val="20"/>
          <w:szCs w:val="20"/>
          <w:shd w:val="clear" w:color="auto" w:fill="FFFFFF"/>
          <w:lang w:val="en-US"/>
        </w:rPr>
        <w:t xml:space="preserve"> </w:t>
      </w:r>
      <w:proofErr w:type="spellStart"/>
      <w:proofErr w:type="gramStart"/>
      <w:r w:rsidRPr="008E2906">
        <w:rPr>
          <w:rFonts w:cs="Arial"/>
          <w:sz w:val="20"/>
          <w:szCs w:val="20"/>
          <w:shd w:val="clear" w:color="auto" w:fill="FFFFFF"/>
          <w:lang w:val="en-US"/>
        </w:rPr>
        <w:t>Remdesivir</w:t>
      </w:r>
      <w:proofErr w:type="spellEnd"/>
      <w:r w:rsidRPr="008E2906">
        <w:rPr>
          <w:rFonts w:cs="Arial"/>
          <w:sz w:val="20"/>
          <w:szCs w:val="20"/>
          <w:shd w:val="clear" w:color="auto" w:fill="FFFFFF"/>
          <w:lang w:val="en-US"/>
        </w:rPr>
        <w:t xml:space="preserve"> as a possible therapeutic option for the COVID-19.</w:t>
      </w:r>
      <w:proofErr w:type="gramEnd"/>
      <w:r w:rsidRPr="008E2906">
        <w:rPr>
          <w:rFonts w:cs="Arial"/>
          <w:sz w:val="20"/>
          <w:szCs w:val="20"/>
          <w:shd w:val="clear" w:color="auto" w:fill="FFFFFF"/>
          <w:lang w:val="en-US"/>
        </w:rPr>
        <w:t> </w:t>
      </w:r>
      <w:r w:rsidRPr="008E2906">
        <w:rPr>
          <w:rFonts w:cs="Arial"/>
          <w:i/>
          <w:iCs/>
          <w:sz w:val="20"/>
          <w:szCs w:val="20"/>
          <w:shd w:val="clear" w:color="auto" w:fill="FFFFFF"/>
          <w:lang w:val="en-US"/>
        </w:rPr>
        <w:t>Travel medicine and infectious disease</w:t>
      </w:r>
      <w:r w:rsidRPr="008E2906">
        <w:rPr>
          <w:rFonts w:cs="Arial"/>
          <w:sz w:val="20"/>
          <w:szCs w:val="20"/>
          <w:shd w:val="clear" w:color="auto" w:fill="FFFFFF"/>
          <w:lang w:val="en-US"/>
        </w:rPr>
        <w:t>, 101615</w:t>
      </w:r>
    </w:p>
    <w:p w:rsidR="00CD15C9" w:rsidRPr="008E2906" w:rsidRDefault="00CD15C9" w:rsidP="00CD15C9">
      <w:pPr>
        <w:rPr>
          <w:rStyle w:val="Lienhypertexte"/>
          <w:color w:val="auto"/>
        </w:rPr>
      </w:pPr>
      <w:proofErr w:type="spellStart"/>
      <w:r w:rsidRPr="008E2906">
        <w:rPr>
          <w:rFonts w:cs="Arial"/>
          <w:sz w:val="20"/>
          <w:szCs w:val="20"/>
          <w:shd w:val="clear" w:color="auto" w:fill="FFFFFF"/>
          <w:lang w:val="en-US"/>
        </w:rPr>
        <w:t>Holshue</w:t>
      </w:r>
      <w:proofErr w:type="spellEnd"/>
      <w:r w:rsidRPr="008E2906">
        <w:rPr>
          <w:rFonts w:cs="Arial"/>
          <w:sz w:val="20"/>
          <w:szCs w:val="20"/>
          <w:shd w:val="clear" w:color="auto" w:fill="FFFFFF"/>
          <w:lang w:val="en-US"/>
        </w:rPr>
        <w:t xml:space="preserve">, M. L., </w:t>
      </w:r>
      <w:proofErr w:type="spellStart"/>
      <w:r w:rsidRPr="008E2906">
        <w:rPr>
          <w:rFonts w:cs="Arial"/>
          <w:sz w:val="20"/>
          <w:szCs w:val="20"/>
          <w:shd w:val="clear" w:color="auto" w:fill="FFFFFF"/>
          <w:lang w:val="en-US"/>
        </w:rPr>
        <w:t>DeBolt</w:t>
      </w:r>
      <w:proofErr w:type="spellEnd"/>
      <w:r w:rsidRPr="008E2906">
        <w:rPr>
          <w:rFonts w:cs="Arial"/>
          <w:sz w:val="20"/>
          <w:szCs w:val="20"/>
          <w:shd w:val="clear" w:color="auto" w:fill="FFFFFF"/>
          <w:lang w:val="en-US"/>
        </w:rPr>
        <w:t xml:space="preserve">, C., Lindquist, S., </w:t>
      </w:r>
      <w:proofErr w:type="spellStart"/>
      <w:r w:rsidRPr="008E2906">
        <w:rPr>
          <w:rFonts w:cs="Arial"/>
          <w:sz w:val="20"/>
          <w:szCs w:val="20"/>
          <w:shd w:val="clear" w:color="auto" w:fill="FFFFFF"/>
          <w:lang w:val="en-US"/>
        </w:rPr>
        <w:t>Lofy</w:t>
      </w:r>
      <w:proofErr w:type="spellEnd"/>
      <w:r w:rsidRPr="008E2906">
        <w:rPr>
          <w:rFonts w:cs="Arial"/>
          <w:sz w:val="20"/>
          <w:szCs w:val="20"/>
          <w:shd w:val="clear" w:color="auto" w:fill="FFFFFF"/>
          <w:lang w:val="en-US"/>
        </w:rPr>
        <w:t xml:space="preserve">, K. H., </w:t>
      </w:r>
      <w:proofErr w:type="spellStart"/>
      <w:r w:rsidRPr="008E2906">
        <w:rPr>
          <w:rFonts w:cs="Arial"/>
          <w:sz w:val="20"/>
          <w:szCs w:val="20"/>
          <w:shd w:val="clear" w:color="auto" w:fill="FFFFFF"/>
          <w:lang w:val="en-US"/>
        </w:rPr>
        <w:t>Wiesman</w:t>
      </w:r>
      <w:proofErr w:type="spellEnd"/>
      <w:r w:rsidRPr="008E2906">
        <w:rPr>
          <w:rFonts w:cs="Arial"/>
          <w:sz w:val="20"/>
          <w:szCs w:val="20"/>
          <w:shd w:val="clear" w:color="auto" w:fill="FFFFFF"/>
          <w:lang w:val="en-US"/>
        </w:rPr>
        <w:t>, J., Bruce, H</w:t>
      </w:r>
      <w:proofErr w:type="gramStart"/>
      <w:r w:rsidRPr="008E2906">
        <w:rPr>
          <w:rFonts w:cs="Arial"/>
          <w:sz w:val="20"/>
          <w:szCs w:val="20"/>
          <w:shd w:val="clear" w:color="auto" w:fill="FFFFFF"/>
          <w:lang w:val="en-US"/>
        </w:rPr>
        <w:t>., ...</w:t>
      </w:r>
      <w:proofErr w:type="gramEnd"/>
      <w:r w:rsidRPr="008E2906">
        <w:rPr>
          <w:rFonts w:cs="Arial"/>
          <w:sz w:val="20"/>
          <w:szCs w:val="20"/>
          <w:shd w:val="clear" w:color="auto" w:fill="FFFFFF"/>
          <w:lang w:val="en-US"/>
        </w:rPr>
        <w:t xml:space="preserve"> &amp; Diaz, G. (2020). </w:t>
      </w:r>
      <w:proofErr w:type="gramStart"/>
      <w:r w:rsidRPr="008E2906">
        <w:rPr>
          <w:rFonts w:cs="Arial"/>
          <w:sz w:val="20"/>
          <w:szCs w:val="20"/>
          <w:shd w:val="clear" w:color="auto" w:fill="FFFFFF"/>
          <w:lang w:val="en-US"/>
        </w:rPr>
        <w:t>First case of 2019 novel coronavirus in the United States.</w:t>
      </w:r>
      <w:proofErr w:type="gramEnd"/>
      <w:r w:rsidRPr="008E2906">
        <w:rPr>
          <w:rFonts w:cs="Arial"/>
          <w:sz w:val="20"/>
          <w:szCs w:val="20"/>
          <w:shd w:val="clear" w:color="auto" w:fill="FFFFFF"/>
          <w:lang w:val="en-US"/>
        </w:rPr>
        <w:t> </w:t>
      </w:r>
      <w:r w:rsidRPr="008E2906">
        <w:rPr>
          <w:rFonts w:cs="Arial"/>
          <w:i/>
          <w:iCs/>
          <w:sz w:val="20"/>
          <w:szCs w:val="20"/>
          <w:shd w:val="clear" w:color="auto" w:fill="FFFFFF"/>
        </w:rPr>
        <w:t xml:space="preserve">New </w:t>
      </w:r>
      <w:proofErr w:type="spellStart"/>
      <w:r w:rsidRPr="008E2906">
        <w:rPr>
          <w:rFonts w:cs="Arial"/>
          <w:i/>
          <w:iCs/>
          <w:sz w:val="20"/>
          <w:szCs w:val="20"/>
          <w:shd w:val="clear" w:color="auto" w:fill="FFFFFF"/>
        </w:rPr>
        <w:t>England</w:t>
      </w:r>
      <w:proofErr w:type="spellEnd"/>
      <w:r w:rsidRPr="008E2906">
        <w:rPr>
          <w:rFonts w:cs="Arial"/>
          <w:i/>
          <w:iCs/>
          <w:sz w:val="20"/>
          <w:szCs w:val="20"/>
          <w:shd w:val="clear" w:color="auto" w:fill="FFFFFF"/>
        </w:rPr>
        <w:t xml:space="preserve"> Journal of </w:t>
      </w:r>
      <w:proofErr w:type="spellStart"/>
      <w:r w:rsidRPr="008E2906">
        <w:rPr>
          <w:rFonts w:cs="Arial"/>
          <w:i/>
          <w:iCs/>
          <w:sz w:val="20"/>
          <w:szCs w:val="20"/>
          <w:shd w:val="clear" w:color="auto" w:fill="FFFFFF"/>
        </w:rPr>
        <w:t>Medicine</w:t>
      </w:r>
      <w:proofErr w:type="spellEnd"/>
      <w:r w:rsidRPr="008E2906">
        <w:rPr>
          <w:rFonts w:cs="Arial"/>
          <w:sz w:val="20"/>
          <w:szCs w:val="20"/>
          <w:shd w:val="clear" w:color="auto" w:fill="FFFFFF"/>
        </w:rPr>
        <w:t>.</w:t>
      </w:r>
      <w:r w:rsidRPr="008E2906">
        <w:rPr>
          <w:rStyle w:val="Lienhypertexte"/>
          <w:color w:val="auto"/>
        </w:rPr>
        <w:t xml:space="preserve"> </w:t>
      </w:r>
    </w:p>
    <w:p w:rsidR="00CD15C9" w:rsidRDefault="00CD15C9" w:rsidP="00E71E12"/>
    <w:p w:rsidR="00CD15C9" w:rsidRDefault="00CD15C9" w:rsidP="00E71E12"/>
    <w:p w:rsidR="00CD15C9" w:rsidRDefault="00CD15C9" w:rsidP="00E71E12"/>
    <w:p w:rsidR="00CD15C9" w:rsidRDefault="00CD15C9" w:rsidP="00E71E12"/>
    <w:p w:rsidR="00CD15C9" w:rsidRDefault="00CD15C9" w:rsidP="00E71E12"/>
    <w:p w:rsidR="00CD15C9" w:rsidRDefault="00CD15C9" w:rsidP="00E71E12"/>
    <w:p w:rsidR="00CD15C9" w:rsidRDefault="00CD15C9" w:rsidP="00E71E12"/>
    <w:p w:rsidR="00CD15C9" w:rsidRDefault="00CD15C9" w:rsidP="00E71E12"/>
    <w:p w:rsidR="00CD15C9" w:rsidRDefault="00CD15C9" w:rsidP="00E71E12">
      <w:r>
        <w:rPr>
          <w:b/>
          <w:u w:val="single"/>
        </w:rPr>
        <w:lastRenderedPageBreak/>
        <w:t>2) Traitements des patients atteints de COVID-19 :</w:t>
      </w:r>
    </w:p>
    <w:p w:rsidR="00E71E12" w:rsidRPr="00DA1C84" w:rsidRDefault="00CD15C9" w:rsidP="00E71E12">
      <w:r>
        <w:t>O</w:t>
      </w:r>
      <w:r w:rsidR="00E71E12" w:rsidRPr="00DA1C84">
        <w:t xml:space="preserve">n abordera ici les différentes perspectives thérapeutiques. </w:t>
      </w:r>
      <w:r w:rsidR="00E71E12">
        <w:t xml:space="preserve">On ne parlera pas de la prise en charge symptomatique en salle et en réanimation (je vous conseille les fiche de l’AJAR et/ou les </w:t>
      </w:r>
      <w:proofErr w:type="spellStart"/>
      <w:r w:rsidR="00E71E12">
        <w:t>webinar</w:t>
      </w:r>
      <w:proofErr w:type="spellEnd"/>
      <w:r w:rsidR="00E71E12">
        <w:t xml:space="preserve"> de la SRLF sur </w:t>
      </w:r>
      <w:proofErr w:type="spellStart"/>
      <w:r w:rsidR="00E71E12">
        <w:t>Youtube</w:t>
      </w:r>
      <w:proofErr w:type="spellEnd"/>
      <w:r w:rsidR="00E71E12">
        <w:t>)</w:t>
      </w:r>
    </w:p>
    <w:p w:rsidR="00B64401" w:rsidRPr="00B64401" w:rsidRDefault="00E71E12" w:rsidP="00E71E12">
      <w:pPr>
        <w:pStyle w:val="Paragraphedeliste"/>
        <w:numPr>
          <w:ilvl w:val="0"/>
          <w:numId w:val="8"/>
        </w:numPr>
      </w:pPr>
      <w:r w:rsidRPr="00856867">
        <w:rPr>
          <w:rFonts w:eastAsia="Times New Roman" w:cs="Times New Roman"/>
          <w:b/>
          <w:i/>
          <w:color w:val="1A1A1A"/>
          <w:spacing w:val="-2"/>
          <w:kern w:val="36"/>
          <w:bdr w:val="none" w:sz="0" w:space="0" w:color="auto" w:frame="1"/>
          <w:lang w:val="en-US" w:eastAsia="fr-FR"/>
        </w:rPr>
        <w:t xml:space="preserve">A Trial of </w:t>
      </w:r>
      <w:proofErr w:type="spellStart"/>
      <w:r w:rsidRPr="00856867">
        <w:rPr>
          <w:rFonts w:eastAsia="Times New Roman" w:cs="Times New Roman"/>
          <w:b/>
          <w:i/>
          <w:color w:val="1A1A1A"/>
          <w:spacing w:val="-2"/>
          <w:kern w:val="36"/>
          <w:bdr w:val="none" w:sz="0" w:space="0" w:color="auto" w:frame="1"/>
          <w:lang w:val="en-US" w:eastAsia="fr-FR"/>
        </w:rPr>
        <w:t>Lopinavir</w:t>
      </w:r>
      <w:proofErr w:type="spellEnd"/>
      <w:r w:rsidRPr="00856867">
        <w:rPr>
          <w:rFonts w:eastAsia="Times New Roman" w:cs="Times New Roman"/>
          <w:b/>
          <w:i/>
          <w:color w:val="1A1A1A"/>
          <w:spacing w:val="-2"/>
          <w:kern w:val="36"/>
          <w:bdr w:val="none" w:sz="0" w:space="0" w:color="auto" w:frame="1"/>
          <w:lang w:val="en-US" w:eastAsia="fr-FR"/>
        </w:rPr>
        <w:t xml:space="preserve">–Ritonavir in Adults Hospitalized with Severe Covid-19, Bin Cao et al. </w:t>
      </w:r>
      <w:r w:rsidRPr="00856867">
        <w:rPr>
          <w:rFonts w:eastAsia="Times New Roman" w:cs="Times New Roman"/>
          <w:b/>
          <w:i/>
          <w:color w:val="1A1A1A"/>
          <w:spacing w:val="-2"/>
          <w:kern w:val="36"/>
          <w:bdr w:val="none" w:sz="0" w:space="0" w:color="auto" w:frame="1"/>
          <w:lang w:eastAsia="fr-FR"/>
        </w:rPr>
        <w:t>NEJM , March 18</w:t>
      </w:r>
      <w:r w:rsidRPr="00DA1C84">
        <w:rPr>
          <w:rFonts w:eastAsia="Times New Roman" w:cs="Times New Roman"/>
          <w:color w:val="1A1A1A"/>
          <w:spacing w:val="-2"/>
          <w:kern w:val="36"/>
          <w:bdr w:val="none" w:sz="0" w:space="0" w:color="auto" w:frame="1"/>
          <w:lang w:eastAsia="fr-FR"/>
        </w:rPr>
        <w:t xml:space="preserve">:  </w:t>
      </w:r>
    </w:p>
    <w:p w:rsidR="00E71E12" w:rsidRPr="00DA1C84" w:rsidRDefault="00B64401" w:rsidP="00B64401">
      <w:pPr>
        <w:pStyle w:val="Paragraphedeliste"/>
      </w:pPr>
      <w:r>
        <w:rPr>
          <w:rFonts w:eastAsia="Times New Roman" w:cs="Times New Roman"/>
          <w:color w:val="1A1A1A"/>
          <w:spacing w:val="-2"/>
          <w:kern w:val="36"/>
          <w:bdr w:val="none" w:sz="0" w:space="0" w:color="auto" w:frame="1"/>
          <w:lang w:eastAsia="fr-FR"/>
        </w:rPr>
        <w:t>E</w:t>
      </w:r>
      <w:r w:rsidR="00E71E12" w:rsidRPr="00DA1C84">
        <w:rPr>
          <w:rFonts w:eastAsia="Times New Roman" w:cs="Times New Roman"/>
          <w:color w:val="1A1A1A"/>
          <w:spacing w:val="-2"/>
          <w:kern w:val="36"/>
          <w:bdr w:val="none" w:sz="0" w:space="0" w:color="auto" w:frame="1"/>
          <w:lang w:eastAsia="fr-FR"/>
        </w:rPr>
        <w:t xml:space="preserve">ssai </w:t>
      </w:r>
      <w:r w:rsidR="00CD15C9" w:rsidRPr="00DA1C84">
        <w:rPr>
          <w:rFonts w:eastAsia="Times New Roman" w:cs="Times New Roman"/>
          <w:color w:val="1A1A1A"/>
          <w:spacing w:val="-2"/>
          <w:kern w:val="36"/>
          <w:bdr w:val="none" w:sz="0" w:space="0" w:color="auto" w:frame="1"/>
          <w:lang w:eastAsia="fr-FR"/>
        </w:rPr>
        <w:t>contrôlé</w:t>
      </w:r>
      <w:r w:rsidR="00E71E12" w:rsidRPr="00DA1C84">
        <w:rPr>
          <w:rFonts w:eastAsia="Times New Roman" w:cs="Times New Roman"/>
          <w:color w:val="1A1A1A"/>
          <w:spacing w:val="-2"/>
          <w:kern w:val="36"/>
          <w:bdr w:val="none" w:sz="0" w:space="0" w:color="auto" w:frame="1"/>
          <w:lang w:eastAsia="fr-FR"/>
        </w:rPr>
        <w:t xml:space="preserve">, randomisé ouvert chez patients confirmés </w:t>
      </w:r>
      <w:proofErr w:type="spellStart"/>
      <w:r w:rsidR="00E71E12" w:rsidRPr="00DA1C84">
        <w:rPr>
          <w:rFonts w:eastAsia="Times New Roman" w:cs="Times New Roman"/>
          <w:color w:val="1A1A1A"/>
          <w:spacing w:val="-2"/>
          <w:kern w:val="36"/>
          <w:bdr w:val="none" w:sz="0" w:space="0" w:color="auto" w:frame="1"/>
          <w:lang w:eastAsia="fr-FR"/>
        </w:rPr>
        <w:t>covid</w:t>
      </w:r>
      <w:proofErr w:type="spellEnd"/>
      <w:r w:rsidR="00E71E12" w:rsidRPr="00DA1C84">
        <w:rPr>
          <w:rFonts w:eastAsia="Times New Roman" w:cs="Times New Roman"/>
          <w:color w:val="1A1A1A"/>
          <w:spacing w:val="-2"/>
          <w:kern w:val="36"/>
          <w:bdr w:val="none" w:sz="0" w:space="0" w:color="auto" w:frame="1"/>
          <w:lang w:eastAsia="fr-FR"/>
        </w:rPr>
        <w:t xml:space="preserve"> positif  hospitalisés. (</w:t>
      </w:r>
      <w:proofErr w:type="gramStart"/>
      <w:r w:rsidR="00E71E12" w:rsidRPr="00DA1C84">
        <w:rPr>
          <w:rFonts w:eastAsia="Times New Roman" w:cs="Times New Roman"/>
          <w:color w:val="1A1A1A"/>
          <w:spacing w:val="-2"/>
          <w:kern w:val="36"/>
          <w:bdr w:val="none" w:sz="0" w:space="0" w:color="auto" w:frame="1"/>
          <w:lang w:eastAsia="fr-FR"/>
        </w:rPr>
        <w:t>sur</w:t>
      </w:r>
      <w:proofErr w:type="gramEnd"/>
      <w:r w:rsidR="00E71E12" w:rsidRPr="00DA1C84">
        <w:rPr>
          <w:rFonts w:eastAsia="Times New Roman" w:cs="Times New Roman"/>
          <w:color w:val="1A1A1A"/>
          <w:spacing w:val="-2"/>
          <w:kern w:val="36"/>
          <w:bdr w:val="none" w:sz="0" w:space="0" w:color="auto" w:frame="1"/>
          <w:lang w:eastAsia="fr-FR"/>
        </w:rPr>
        <w:t xml:space="preserve"> la base d’essais in vitro contre le SARS en 2003, essai en cours </w:t>
      </w:r>
      <w:proofErr w:type="spellStart"/>
      <w:r w:rsidR="00E71E12" w:rsidRPr="00DA1C84">
        <w:rPr>
          <w:rFonts w:eastAsia="Times New Roman" w:cs="Times New Roman"/>
          <w:color w:val="1A1A1A"/>
          <w:spacing w:val="-2"/>
          <w:kern w:val="36"/>
          <w:bdr w:val="none" w:sz="0" w:space="0" w:color="auto" w:frame="1"/>
          <w:lang w:eastAsia="fr-FR"/>
        </w:rPr>
        <w:t>pr</w:t>
      </w:r>
      <w:proofErr w:type="spellEnd"/>
      <w:r w:rsidR="00E71E12" w:rsidRPr="00DA1C84">
        <w:rPr>
          <w:rFonts w:eastAsia="Times New Roman" w:cs="Times New Roman"/>
          <w:color w:val="1A1A1A"/>
          <w:spacing w:val="-2"/>
          <w:kern w:val="36"/>
          <w:bdr w:val="none" w:sz="0" w:space="0" w:color="auto" w:frame="1"/>
          <w:lang w:eastAsia="fr-FR"/>
        </w:rPr>
        <w:t xml:space="preserve"> le </w:t>
      </w:r>
      <w:proofErr w:type="spellStart"/>
      <w:r w:rsidR="00E71E12" w:rsidRPr="00DA1C84">
        <w:rPr>
          <w:rFonts w:eastAsia="Times New Roman" w:cs="Times New Roman"/>
          <w:color w:val="1A1A1A"/>
          <w:spacing w:val="-2"/>
          <w:kern w:val="36"/>
          <w:bdr w:val="none" w:sz="0" w:space="0" w:color="auto" w:frame="1"/>
          <w:lang w:eastAsia="fr-FR"/>
        </w:rPr>
        <w:t>MersCoV</w:t>
      </w:r>
      <w:proofErr w:type="spellEnd"/>
      <w:r w:rsidR="00E71E12" w:rsidRPr="00DA1C84">
        <w:rPr>
          <w:rFonts w:eastAsia="Times New Roman" w:cs="Times New Roman"/>
          <w:color w:val="1A1A1A"/>
          <w:spacing w:val="-2"/>
          <w:kern w:val="36"/>
          <w:bdr w:val="none" w:sz="0" w:space="0" w:color="auto" w:frame="1"/>
          <w:lang w:eastAsia="fr-FR"/>
        </w:rPr>
        <w:t xml:space="preserve"> de l’association </w:t>
      </w:r>
      <w:proofErr w:type="spellStart"/>
      <w:r w:rsidR="00E71E12" w:rsidRPr="00DA1C84">
        <w:rPr>
          <w:rFonts w:eastAsia="Times New Roman" w:cs="Times New Roman"/>
          <w:color w:val="1A1A1A"/>
          <w:spacing w:val="-2"/>
          <w:kern w:val="36"/>
          <w:bdr w:val="none" w:sz="0" w:space="0" w:color="auto" w:frame="1"/>
          <w:lang w:eastAsia="fr-FR"/>
        </w:rPr>
        <w:t>Lopinavir-Ritonavir</w:t>
      </w:r>
      <w:proofErr w:type="spellEnd"/>
      <w:r w:rsidR="00E71E12" w:rsidRPr="00DA1C84">
        <w:rPr>
          <w:rFonts w:eastAsia="Times New Roman" w:cs="Times New Roman"/>
          <w:color w:val="1A1A1A"/>
          <w:spacing w:val="-2"/>
          <w:kern w:val="36"/>
          <w:bdr w:val="none" w:sz="0" w:space="0" w:color="auto" w:frame="1"/>
          <w:lang w:eastAsia="fr-FR"/>
        </w:rPr>
        <w:t xml:space="preserve"> avec </w:t>
      </w:r>
      <w:proofErr w:type="spellStart"/>
      <w:r w:rsidR="00E71E12" w:rsidRPr="00DA1C84">
        <w:rPr>
          <w:rFonts w:eastAsia="Times New Roman" w:cs="Times New Roman"/>
          <w:color w:val="1A1A1A"/>
          <w:spacing w:val="-2"/>
          <w:kern w:val="36"/>
          <w:bdr w:val="none" w:sz="0" w:space="0" w:color="auto" w:frame="1"/>
          <w:lang w:eastAsia="fr-FR"/>
        </w:rPr>
        <w:t>Ribavirine</w:t>
      </w:r>
      <w:proofErr w:type="spellEnd"/>
      <w:r w:rsidR="00E71E12" w:rsidRPr="00DA1C84">
        <w:rPr>
          <w:rFonts w:eastAsia="Times New Roman" w:cs="Times New Roman"/>
          <w:color w:val="1A1A1A"/>
          <w:spacing w:val="-2"/>
          <w:kern w:val="36"/>
          <w:bdr w:val="none" w:sz="0" w:space="0" w:color="auto" w:frame="1"/>
          <w:lang w:eastAsia="fr-FR"/>
        </w:rPr>
        <w:t xml:space="preserve"> et </w:t>
      </w:r>
      <w:proofErr w:type="spellStart"/>
      <w:r w:rsidR="00E71E12" w:rsidRPr="00DA1C84">
        <w:rPr>
          <w:rFonts w:eastAsia="Times New Roman" w:cs="Times New Roman"/>
          <w:color w:val="1A1A1A"/>
          <w:spacing w:val="-2"/>
          <w:kern w:val="36"/>
          <w:bdr w:val="none" w:sz="0" w:space="0" w:color="auto" w:frame="1"/>
          <w:lang w:eastAsia="fr-FR"/>
        </w:rPr>
        <w:t>Interferon</w:t>
      </w:r>
      <w:proofErr w:type="spellEnd"/>
      <w:r w:rsidR="00E71E12" w:rsidRPr="00DA1C84">
        <w:rPr>
          <w:rFonts w:eastAsia="Times New Roman" w:cs="Times New Roman"/>
          <w:color w:val="1A1A1A"/>
          <w:spacing w:val="-2"/>
          <w:kern w:val="36"/>
          <w:bdr w:val="none" w:sz="0" w:space="0" w:color="auto" w:frame="1"/>
          <w:lang w:eastAsia="fr-FR"/>
        </w:rPr>
        <w:t xml:space="preserve"> alpha). 199 patients randomisés </w:t>
      </w:r>
      <w:proofErr w:type="spellStart"/>
      <w:r w:rsidR="00E71E12" w:rsidRPr="00DA1C84">
        <w:rPr>
          <w:rFonts w:eastAsia="Times New Roman" w:cs="Times New Roman"/>
          <w:color w:val="1A1A1A"/>
          <w:spacing w:val="-2"/>
          <w:kern w:val="36"/>
          <w:bdr w:val="none" w:sz="0" w:space="0" w:color="auto" w:frame="1"/>
          <w:lang w:eastAsia="fr-FR"/>
        </w:rPr>
        <w:t>Lopinavir-Ritonavir</w:t>
      </w:r>
      <w:proofErr w:type="spellEnd"/>
      <w:r w:rsidR="00E71E12" w:rsidRPr="00DA1C84">
        <w:rPr>
          <w:rFonts w:eastAsia="Times New Roman" w:cs="Times New Roman"/>
          <w:color w:val="1A1A1A"/>
          <w:spacing w:val="-2"/>
          <w:kern w:val="36"/>
          <w:bdr w:val="none" w:sz="0" w:space="0" w:color="auto" w:frame="1"/>
          <w:lang w:eastAsia="fr-FR"/>
        </w:rPr>
        <w:t xml:space="preserve"> + PEC symptomatique versus PEC symptomatique seule. CJP : durée d’</w:t>
      </w:r>
      <w:r w:rsidRPr="00DA1C84">
        <w:rPr>
          <w:rFonts w:eastAsia="Times New Roman" w:cs="Times New Roman"/>
          <w:color w:val="1A1A1A"/>
          <w:spacing w:val="-2"/>
          <w:kern w:val="36"/>
          <w:bdr w:val="none" w:sz="0" w:space="0" w:color="auto" w:frame="1"/>
          <w:lang w:eastAsia="fr-FR"/>
        </w:rPr>
        <w:t>améliora</w:t>
      </w:r>
      <w:r>
        <w:rPr>
          <w:rFonts w:eastAsia="Times New Roman" w:cs="Times New Roman"/>
          <w:color w:val="1A1A1A"/>
          <w:spacing w:val="-2"/>
          <w:kern w:val="36"/>
          <w:bdr w:val="none" w:sz="0" w:space="0" w:color="auto" w:frame="1"/>
          <w:lang w:eastAsia="fr-FR"/>
        </w:rPr>
        <w:t>tion</w:t>
      </w:r>
      <w:r w:rsidR="008E2906">
        <w:rPr>
          <w:rFonts w:eastAsia="Times New Roman" w:cs="Times New Roman"/>
          <w:color w:val="1A1A1A"/>
          <w:spacing w:val="-2"/>
          <w:kern w:val="36"/>
          <w:bdr w:val="none" w:sz="0" w:space="0" w:color="auto" w:frame="1"/>
          <w:lang w:eastAsia="fr-FR"/>
        </w:rPr>
        <w:t xml:space="preserve"> clinique. Critères de juge</w:t>
      </w:r>
      <w:r w:rsidR="00E71E12" w:rsidRPr="00DA1C84">
        <w:rPr>
          <w:rFonts w:eastAsia="Times New Roman" w:cs="Times New Roman"/>
          <w:color w:val="1A1A1A"/>
          <w:spacing w:val="-2"/>
          <w:kern w:val="36"/>
          <w:bdr w:val="none" w:sz="0" w:space="0" w:color="auto" w:frame="1"/>
          <w:lang w:eastAsia="fr-FR"/>
        </w:rPr>
        <w:t xml:space="preserve">ment secondaires : durée de ventilation invasive, diminution de la charge virale, durée d’hospitalisation. Résultats : Pas de différence significative sur le CJP : durée médiane d’amélioration clinique de 16 jours dans les 2 groupes (HR de 1.31).  On observe en revanche un raccourcissement de la durée d’hospitalisation en soin intensif (médiane de 6jours vs 11) sans test </w:t>
      </w:r>
      <w:r w:rsidRPr="00DA1C84">
        <w:rPr>
          <w:rFonts w:eastAsia="Times New Roman" w:cs="Times New Roman"/>
          <w:color w:val="1A1A1A"/>
          <w:spacing w:val="-2"/>
          <w:kern w:val="36"/>
          <w:bdr w:val="none" w:sz="0" w:space="0" w:color="auto" w:frame="1"/>
          <w:lang w:eastAsia="fr-FR"/>
        </w:rPr>
        <w:t>statistique</w:t>
      </w:r>
      <w:r w:rsidR="00E71E12" w:rsidRPr="00DA1C84">
        <w:rPr>
          <w:rFonts w:eastAsia="Times New Roman" w:cs="Times New Roman"/>
          <w:color w:val="1A1A1A"/>
          <w:spacing w:val="-2"/>
          <w:kern w:val="36"/>
          <w:bdr w:val="none" w:sz="0" w:space="0" w:color="auto" w:frame="1"/>
          <w:lang w:eastAsia="fr-FR"/>
        </w:rPr>
        <w:t xml:space="preserve">... Pas de différences sur la cinétique de diminution de la charge virale.  Complications similaires dans les groupes,  plus d’effets secondaires digestifs dans le bras testé, plus de défaillance d’organes dans le bras contrôle. Mortalité supérieure aux données épidémiologiques dans cette étude du fait de patient particulièrement grave, par ailleurs une étude en sous-groupe montre une différence de mortalité en défaveur du traitement chez les patients ayant débuté le traitement après 12 jours de symptômes. La question se pose d’étudier le traitement en l’introduisant  plus précocement ? Ou bien essayer de l’associer à d’autres </w:t>
      </w:r>
      <w:r w:rsidRPr="00DA1C84">
        <w:rPr>
          <w:rFonts w:eastAsia="Times New Roman" w:cs="Times New Roman"/>
          <w:color w:val="1A1A1A"/>
          <w:spacing w:val="-2"/>
          <w:kern w:val="36"/>
          <w:bdr w:val="none" w:sz="0" w:space="0" w:color="auto" w:frame="1"/>
          <w:lang w:eastAsia="fr-FR"/>
        </w:rPr>
        <w:t>antiviraux</w:t>
      </w:r>
      <w:r w:rsidR="00E71E12" w:rsidRPr="00DA1C84">
        <w:rPr>
          <w:rFonts w:eastAsia="Times New Roman" w:cs="Times New Roman"/>
          <w:color w:val="1A1A1A"/>
          <w:spacing w:val="-2"/>
          <w:kern w:val="36"/>
          <w:bdr w:val="none" w:sz="0" w:space="0" w:color="auto" w:frame="1"/>
          <w:lang w:eastAsia="fr-FR"/>
        </w:rPr>
        <w:t xml:space="preserve"> (comme dans l’étude du </w:t>
      </w:r>
      <w:proofErr w:type="spellStart"/>
      <w:r w:rsidR="00E71E12" w:rsidRPr="00DA1C84">
        <w:rPr>
          <w:rFonts w:eastAsia="Times New Roman" w:cs="Times New Roman"/>
          <w:color w:val="1A1A1A"/>
          <w:spacing w:val="-2"/>
          <w:kern w:val="36"/>
          <w:bdr w:val="none" w:sz="0" w:space="0" w:color="auto" w:frame="1"/>
          <w:lang w:eastAsia="fr-FR"/>
        </w:rPr>
        <w:t>MersCoV</w:t>
      </w:r>
      <w:proofErr w:type="spellEnd"/>
      <w:r w:rsidR="00E71E12" w:rsidRPr="00DA1C84">
        <w:rPr>
          <w:rFonts w:eastAsia="Times New Roman" w:cs="Times New Roman"/>
          <w:color w:val="1A1A1A"/>
          <w:spacing w:val="-2"/>
          <w:kern w:val="36"/>
          <w:bdr w:val="none" w:sz="0" w:space="0" w:color="auto" w:frame="1"/>
          <w:lang w:eastAsia="fr-FR"/>
        </w:rPr>
        <w:t xml:space="preserve">) ? </w:t>
      </w:r>
    </w:p>
    <w:p w:rsidR="00E71E12" w:rsidRPr="00DA1C84" w:rsidRDefault="00E71E12" w:rsidP="00E71E12">
      <w:pPr>
        <w:pStyle w:val="Paragraphedeliste"/>
      </w:pPr>
    </w:p>
    <w:p w:rsidR="003D508A" w:rsidRDefault="00E71E12" w:rsidP="003D508A">
      <w:pPr>
        <w:pStyle w:val="Paragraphedeliste"/>
        <w:numPr>
          <w:ilvl w:val="0"/>
          <w:numId w:val="8"/>
        </w:numPr>
      </w:pPr>
      <w:proofErr w:type="spellStart"/>
      <w:r w:rsidRPr="00856867">
        <w:rPr>
          <w:b/>
        </w:rPr>
        <w:t>Remdesivir</w:t>
      </w:r>
      <w:proofErr w:type="spellEnd"/>
      <w:r>
        <w:t>:</w:t>
      </w:r>
      <w:r w:rsidR="00361FF4">
        <w:t xml:space="preserve"> </w:t>
      </w:r>
    </w:p>
    <w:p w:rsidR="00E71E12" w:rsidRDefault="00B64401" w:rsidP="003D508A">
      <w:pPr>
        <w:pStyle w:val="Paragraphedeliste"/>
      </w:pPr>
      <w:proofErr w:type="spellStart"/>
      <w:r>
        <w:t>P</w:t>
      </w:r>
      <w:r w:rsidR="00E71E12">
        <w:t>rodrogue</w:t>
      </w:r>
      <w:proofErr w:type="spellEnd"/>
      <w:r w:rsidR="00E71E12">
        <w:t xml:space="preserve"> analogue de l’</w:t>
      </w:r>
      <w:r>
        <w:t>adénosine</w:t>
      </w:r>
      <w:r w:rsidR="00E71E12">
        <w:t xml:space="preserve">, inhibant ARN polymérase et donc entrainant un arrêt de la production de l’ARN viral. Médicament testé </w:t>
      </w:r>
      <w:r>
        <w:t>initialement</w:t>
      </w:r>
      <w:r w:rsidR="00E71E12">
        <w:t xml:space="preserve"> dans EBOLA, puis une étude in vitro sur le </w:t>
      </w:r>
      <w:proofErr w:type="spellStart"/>
      <w:r w:rsidR="00E71E12">
        <w:t>MersCoV</w:t>
      </w:r>
      <w:proofErr w:type="spellEnd"/>
      <w:r w:rsidR="00E71E12">
        <w:t xml:space="preserve"> montrait une supériorité du </w:t>
      </w:r>
      <w:proofErr w:type="spellStart"/>
      <w:r w:rsidR="00E71E12">
        <w:t>Remdesivir</w:t>
      </w:r>
      <w:proofErr w:type="spellEnd"/>
      <w:r w:rsidR="00E71E12">
        <w:t xml:space="preserve"> associé à l’</w:t>
      </w:r>
      <w:r>
        <w:t>interféron</w:t>
      </w:r>
      <w:r w:rsidR="00E71E12">
        <w:t xml:space="preserve"> </w:t>
      </w:r>
      <w:proofErr w:type="spellStart"/>
      <w:r w:rsidR="00E71E12">
        <w:t>beta</w:t>
      </w:r>
      <w:proofErr w:type="spellEnd"/>
      <w:r w:rsidR="00E71E12">
        <w:t xml:space="preserve"> comparé au </w:t>
      </w:r>
      <w:proofErr w:type="spellStart"/>
      <w:r w:rsidR="00E71E12">
        <w:t>Lopinavir-Ritonavir</w:t>
      </w:r>
      <w:proofErr w:type="spellEnd"/>
      <w:r w:rsidR="00E71E12">
        <w:t xml:space="preserve"> associé à l’</w:t>
      </w:r>
      <w:proofErr w:type="spellStart"/>
      <w:r w:rsidR="00E71E12">
        <w:t>interferon</w:t>
      </w:r>
      <w:proofErr w:type="spellEnd"/>
      <w:r w:rsidR="00E71E12">
        <w:t xml:space="preserve"> Beta. Premier essai de cette molécule chez le premier patient </w:t>
      </w:r>
      <w:proofErr w:type="spellStart"/>
      <w:r w:rsidR="00E71E12">
        <w:t>Covid</w:t>
      </w:r>
      <w:proofErr w:type="spellEnd"/>
      <w:r w:rsidR="00E71E12">
        <w:t xml:space="preserve"> de Washington, permettant une amélioration clinique, cependant introduction du traitement au 7</w:t>
      </w:r>
      <w:r w:rsidR="00E71E12" w:rsidRPr="003D508A">
        <w:rPr>
          <w:vertAlign w:val="superscript"/>
        </w:rPr>
        <w:t>ème</w:t>
      </w:r>
      <w:r w:rsidR="00E71E12">
        <w:t xml:space="preserve"> jour de </w:t>
      </w:r>
      <w:r>
        <w:t>symptômes</w:t>
      </w:r>
      <w:r w:rsidR="00E71E12">
        <w:t xml:space="preserve">, donc se pose la question d’une amélioration naturelle ou réel </w:t>
      </w:r>
      <w:r>
        <w:t>efficacité</w:t>
      </w:r>
      <w:r w:rsidR="00E71E12">
        <w:t xml:space="preserve"> du traitement ? Plusieurs essais randomisés viennent d’ouvrir aux US. </w:t>
      </w:r>
    </w:p>
    <w:p w:rsidR="00E71E12" w:rsidRDefault="00E71E12" w:rsidP="00E71E12">
      <w:pPr>
        <w:pStyle w:val="Paragraphedeliste"/>
      </w:pPr>
    </w:p>
    <w:p w:rsidR="003D508A" w:rsidRPr="003D508A" w:rsidRDefault="00E71E12" w:rsidP="003D508A">
      <w:pPr>
        <w:pStyle w:val="Paragraphedeliste"/>
        <w:numPr>
          <w:ilvl w:val="0"/>
          <w:numId w:val="8"/>
        </w:numPr>
        <w:rPr>
          <w:lang w:val="en-US"/>
        </w:rPr>
      </w:pPr>
      <w:r w:rsidRPr="00B64401">
        <w:rPr>
          <w:lang w:val="en-US"/>
        </w:rPr>
        <w:t xml:space="preserve"> </w:t>
      </w:r>
      <w:r w:rsidRPr="00B64401">
        <w:rPr>
          <w:rFonts w:eastAsia="Times New Roman" w:cs="Times New Roman"/>
          <w:b/>
          <w:i/>
          <w:szCs w:val="20"/>
          <w:lang w:val="en-US" w:eastAsia="fr-FR"/>
        </w:rPr>
        <w:t xml:space="preserve">Hydroxychloroquine and azithromycin as a treatment of COVID-19: results of an </w:t>
      </w:r>
      <w:proofErr w:type="spellStart"/>
      <w:r w:rsidRPr="00B64401">
        <w:rPr>
          <w:rFonts w:eastAsia="Times New Roman" w:cs="Times New Roman"/>
          <w:b/>
          <w:i/>
          <w:szCs w:val="20"/>
          <w:lang w:val="en-US" w:eastAsia="fr-FR"/>
        </w:rPr>
        <w:t>openlabel</w:t>
      </w:r>
      <w:proofErr w:type="spellEnd"/>
      <w:r w:rsidRPr="00B64401">
        <w:rPr>
          <w:rFonts w:eastAsia="Times New Roman" w:cs="Times New Roman"/>
          <w:b/>
          <w:i/>
          <w:szCs w:val="20"/>
          <w:lang w:val="en-US" w:eastAsia="fr-FR"/>
        </w:rPr>
        <w:t xml:space="preserve"> non-randomized clinical trial, </w:t>
      </w:r>
      <w:proofErr w:type="spellStart"/>
      <w:r w:rsidRPr="00B64401">
        <w:rPr>
          <w:rFonts w:eastAsia="Times New Roman" w:cs="Times New Roman"/>
          <w:b/>
          <w:i/>
          <w:szCs w:val="20"/>
          <w:lang w:val="en-US" w:eastAsia="fr-FR"/>
        </w:rPr>
        <w:t>Gautret</w:t>
      </w:r>
      <w:proofErr w:type="spellEnd"/>
      <w:r w:rsidRPr="00B64401">
        <w:rPr>
          <w:rFonts w:eastAsia="Times New Roman" w:cs="Times New Roman"/>
          <w:b/>
          <w:i/>
          <w:szCs w:val="20"/>
          <w:lang w:val="en-US" w:eastAsia="fr-FR"/>
        </w:rPr>
        <w:t xml:space="preserve"> et all</w:t>
      </w:r>
      <w:r w:rsidRPr="00B64401">
        <w:rPr>
          <w:rFonts w:eastAsia="Times New Roman" w:cs="Times New Roman"/>
          <w:szCs w:val="20"/>
          <w:lang w:val="en-US" w:eastAsia="fr-FR"/>
        </w:rPr>
        <w:t xml:space="preserve">: </w:t>
      </w:r>
    </w:p>
    <w:p w:rsidR="00B64401" w:rsidRPr="003D508A" w:rsidRDefault="00E71E12" w:rsidP="003D508A">
      <w:pPr>
        <w:pStyle w:val="Paragraphedeliste"/>
      </w:pPr>
      <w:r w:rsidRPr="003D508A">
        <w:rPr>
          <w:rFonts w:eastAsia="Times New Roman" w:cs="Times New Roman"/>
          <w:szCs w:val="20"/>
          <w:lang w:eastAsia="fr-FR"/>
        </w:rPr>
        <w:t>Le rationnel de l’étude est appuyé par un essai chinois prometteur avec la chloroquine</w:t>
      </w:r>
      <w:r w:rsidR="00B64401" w:rsidRPr="003D508A">
        <w:rPr>
          <w:rFonts w:eastAsia="Times New Roman" w:cs="Times New Roman"/>
          <w:szCs w:val="20"/>
          <w:lang w:eastAsia="fr-FR"/>
        </w:rPr>
        <w:t xml:space="preserve"> (article à ce jour non publié et introuvable sur les plateformes conventionnelles) </w:t>
      </w:r>
      <w:r w:rsidRPr="003D508A">
        <w:rPr>
          <w:rFonts w:eastAsia="Times New Roman" w:cs="Times New Roman"/>
          <w:szCs w:val="20"/>
          <w:lang w:eastAsia="fr-FR"/>
        </w:rPr>
        <w:t xml:space="preserve"> et les données anciennes sur l’</w:t>
      </w:r>
      <w:r w:rsidR="00B64401" w:rsidRPr="003D508A">
        <w:rPr>
          <w:rFonts w:eastAsia="Times New Roman" w:cs="Times New Roman"/>
          <w:szCs w:val="20"/>
          <w:lang w:eastAsia="fr-FR"/>
        </w:rPr>
        <w:t xml:space="preserve">efficacité </w:t>
      </w:r>
      <w:r w:rsidR="00B64401" w:rsidRPr="003D508A">
        <w:rPr>
          <w:rFonts w:eastAsia="Times New Roman" w:cs="Times New Roman"/>
          <w:i/>
          <w:szCs w:val="20"/>
          <w:lang w:eastAsia="fr-FR"/>
        </w:rPr>
        <w:t>in vitro</w:t>
      </w:r>
      <w:r w:rsidRPr="003D508A">
        <w:rPr>
          <w:rFonts w:eastAsia="Times New Roman" w:cs="Times New Roman"/>
          <w:szCs w:val="20"/>
          <w:lang w:eastAsia="fr-FR"/>
        </w:rPr>
        <w:t xml:space="preserve"> de la molécule dans diverses infection virale (SARS, VIH-1 entre autre). </w:t>
      </w:r>
    </w:p>
    <w:p w:rsidR="00B64401" w:rsidRDefault="00B64401" w:rsidP="00B64401">
      <w:pPr>
        <w:pStyle w:val="Paragraphedeliste"/>
        <w:rPr>
          <w:rFonts w:eastAsia="Times New Roman" w:cs="Times New Roman"/>
          <w:szCs w:val="20"/>
          <w:lang w:eastAsia="fr-FR"/>
        </w:rPr>
      </w:pPr>
      <w:r w:rsidRPr="00B64401">
        <w:rPr>
          <w:rFonts w:eastAsia="Times New Roman" w:cs="Times New Roman"/>
          <w:szCs w:val="20"/>
          <w:lang w:eastAsia="fr-FR"/>
        </w:rPr>
        <w:t>Dans cet</w:t>
      </w:r>
      <w:r w:rsidR="00E71E12" w:rsidRPr="00B64401">
        <w:rPr>
          <w:rFonts w:eastAsia="Times New Roman" w:cs="Times New Roman"/>
          <w:szCs w:val="20"/>
          <w:lang w:eastAsia="fr-FR"/>
        </w:rPr>
        <w:t xml:space="preserve"> essai </w:t>
      </w:r>
      <w:r>
        <w:rPr>
          <w:rFonts w:eastAsia="Times New Roman" w:cs="Times New Roman"/>
          <w:szCs w:val="20"/>
          <w:lang w:eastAsia="fr-FR"/>
        </w:rPr>
        <w:t xml:space="preserve">en </w:t>
      </w:r>
      <w:r w:rsidR="00E71E12" w:rsidRPr="00B64401">
        <w:rPr>
          <w:rFonts w:eastAsia="Times New Roman" w:cs="Times New Roman"/>
          <w:szCs w:val="20"/>
          <w:lang w:eastAsia="fr-FR"/>
        </w:rPr>
        <w:t>ouvert</w:t>
      </w:r>
      <w:r w:rsidRPr="00B64401">
        <w:rPr>
          <w:rFonts w:eastAsia="Times New Roman" w:cs="Times New Roman"/>
          <w:szCs w:val="20"/>
          <w:lang w:eastAsia="fr-FR"/>
        </w:rPr>
        <w:t xml:space="preserve"> : </w:t>
      </w:r>
      <w:r>
        <w:rPr>
          <w:rFonts w:eastAsia="Times New Roman" w:cs="Times New Roman"/>
          <w:szCs w:val="20"/>
          <w:lang w:eastAsia="fr-FR"/>
        </w:rPr>
        <w:t xml:space="preserve">un bras avec </w:t>
      </w:r>
      <w:r w:rsidR="00E71E12" w:rsidRPr="00B64401">
        <w:rPr>
          <w:rFonts w:eastAsia="Times New Roman" w:cs="Times New Roman"/>
          <w:szCs w:val="20"/>
          <w:lang w:eastAsia="fr-FR"/>
        </w:rPr>
        <w:t>administration d’</w:t>
      </w:r>
      <w:proofErr w:type="spellStart"/>
      <w:r w:rsidR="00E71E12" w:rsidRPr="00B64401">
        <w:rPr>
          <w:rFonts w:eastAsia="Times New Roman" w:cs="Times New Roman"/>
          <w:szCs w:val="20"/>
          <w:lang w:eastAsia="fr-FR"/>
        </w:rPr>
        <w:t>hydroxychloroquine</w:t>
      </w:r>
      <w:proofErr w:type="spellEnd"/>
      <w:r w:rsidR="00E71E12" w:rsidRPr="00B64401">
        <w:rPr>
          <w:rFonts w:eastAsia="Times New Roman" w:cs="Times New Roman"/>
          <w:szCs w:val="20"/>
          <w:lang w:eastAsia="fr-FR"/>
        </w:rPr>
        <w:t xml:space="preserve"> 200mg+/- </w:t>
      </w:r>
      <w:proofErr w:type="spellStart"/>
      <w:r w:rsidR="00E71E12" w:rsidRPr="00B64401">
        <w:rPr>
          <w:rFonts w:eastAsia="Times New Roman" w:cs="Times New Roman"/>
          <w:szCs w:val="20"/>
          <w:lang w:eastAsia="fr-FR"/>
        </w:rPr>
        <w:t>azithromycine</w:t>
      </w:r>
      <w:proofErr w:type="spellEnd"/>
      <w:r w:rsidR="00E71E12" w:rsidRPr="00B64401">
        <w:rPr>
          <w:rFonts w:eastAsia="Times New Roman" w:cs="Times New Roman"/>
          <w:szCs w:val="20"/>
          <w:lang w:eastAsia="fr-FR"/>
        </w:rPr>
        <w:t xml:space="preserve"> (en fonction des symptômes et de la gravité cliniq</w:t>
      </w:r>
      <w:r w:rsidRPr="00B64401">
        <w:rPr>
          <w:rFonts w:eastAsia="Times New Roman" w:cs="Times New Roman"/>
          <w:szCs w:val="20"/>
          <w:lang w:eastAsia="fr-FR"/>
        </w:rPr>
        <w:t xml:space="preserve">ue). </w:t>
      </w:r>
    </w:p>
    <w:p w:rsidR="00B64401" w:rsidRDefault="00B64401" w:rsidP="00B64401">
      <w:pPr>
        <w:pStyle w:val="Paragraphedeliste"/>
        <w:rPr>
          <w:rFonts w:eastAsia="Times New Roman" w:cs="Times New Roman"/>
          <w:szCs w:val="20"/>
          <w:lang w:eastAsia="fr-FR"/>
        </w:rPr>
      </w:pPr>
      <w:r>
        <w:rPr>
          <w:rFonts w:eastAsia="Times New Roman" w:cs="Times New Roman"/>
          <w:szCs w:val="20"/>
          <w:lang w:eastAsia="fr-FR"/>
        </w:rPr>
        <w:t>Un</w:t>
      </w:r>
      <w:r w:rsidRPr="00B64401">
        <w:rPr>
          <w:rFonts w:eastAsia="Times New Roman" w:cs="Times New Roman"/>
          <w:szCs w:val="20"/>
          <w:lang w:eastAsia="fr-FR"/>
        </w:rPr>
        <w:t xml:space="preserve"> bras contrôle reçoit les soins symptomatiques</w:t>
      </w:r>
      <w:r w:rsidR="00E71E12" w:rsidRPr="00B64401">
        <w:rPr>
          <w:rFonts w:eastAsia="Times New Roman" w:cs="Times New Roman"/>
          <w:szCs w:val="20"/>
          <w:lang w:eastAsia="fr-FR"/>
        </w:rPr>
        <w:t xml:space="preserve"> standards sur un suivi de 14 jours.</w:t>
      </w:r>
      <w:r w:rsidRPr="00B64401">
        <w:rPr>
          <w:rFonts w:eastAsia="Times New Roman" w:cs="Times New Roman"/>
          <w:szCs w:val="20"/>
          <w:lang w:eastAsia="fr-FR"/>
        </w:rPr>
        <w:t xml:space="preserve"> </w:t>
      </w:r>
      <w:r w:rsidRPr="00B64401">
        <w:rPr>
          <w:rFonts w:eastAsia="Times New Roman" w:cs="Times New Roman"/>
          <w:i/>
          <w:szCs w:val="20"/>
          <w:lang w:eastAsia="fr-FR"/>
        </w:rPr>
        <w:t>A noter que ce bras contrôle est constitué par des patients d’autres centres que celui des patients recevant l’</w:t>
      </w:r>
      <w:proofErr w:type="spellStart"/>
      <w:r w:rsidRPr="00B64401">
        <w:rPr>
          <w:rFonts w:eastAsia="Times New Roman" w:cs="Times New Roman"/>
          <w:i/>
          <w:szCs w:val="20"/>
          <w:lang w:eastAsia="fr-FR"/>
        </w:rPr>
        <w:t>hydroxychloroquine</w:t>
      </w:r>
      <w:proofErr w:type="spellEnd"/>
      <w:r w:rsidRPr="00B64401">
        <w:rPr>
          <w:rFonts w:eastAsia="Times New Roman" w:cs="Times New Roman"/>
          <w:szCs w:val="20"/>
          <w:lang w:eastAsia="fr-FR"/>
        </w:rPr>
        <w:t xml:space="preserve">. </w:t>
      </w:r>
      <w:r w:rsidR="00E71E12" w:rsidRPr="00B64401">
        <w:rPr>
          <w:rFonts w:eastAsia="Times New Roman" w:cs="Times New Roman"/>
          <w:szCs w:val="20"/>
          <w:lang w:eastAsia="fr-FR"/>
        </w:rPr>
        <w:t xml:space="preserve"> </w:t>
      </w:r>
    </w:p>
    <w:p w:rsidR="00B64401" w:rsidRDefault="00E71E12" w:rsidP="00B64401">
      <w:pPr>
        <w:pStyle w:val="Paragraphedeliste"/>
        <w:rPr>
          <w:rFonts w:eastAsia="Times New Roman" w:cs="Times New Roman"/>
          <w:szCs w:val="20"/>
          <w:lang w:eastAsia="fr-FR"/>
        </w:rPr>
      </w:pPr>
      <w:r w:rsidRPr="00B64401">
        <w:rPr>
          <w:rFonts w:eastAsia="Times New Roman" w:cs="Times New Roman"/>
          <w:szCs w:val="20"/>
          <w:lang w:eastAsia="fr-FR"/>
        </w:rPr>
        <w:lastRenderedPageBreak/>
        <w:t>CJP : clearance virale à J6. CJ secondaire</w:t>
      </w:r>
      <w:r w:rsidR="00B64401" w:rsidRPr="00B64401">
        <w:rPr>
          <w:rFonts w:eastAsia="Times New Roman" w:cs="Times New Roman"/>
          <w:szCs w:val="20"/>
          <w:lang w:eastAsia="fr-FR"/>
        </w:rPr>
        <w:t>: clearance</w:t>
      </w:r>
      <w:r w:rsidRPr="00B64401">
        <w:rPr>
          <w:rFonts w:eastAsia="Times New Roman" w:cs="Times New Roman"/>
          <w:szCs w:val="20"/>
          <w:lang w:eastAsia="fr-FR"/>
        </w:rPr>
        <w:t xml:space="preserve"> virale en fin d’étude, amélioration clinique, tolérance. </w:t>
      </w:r>
    </w:p>
    <w:p w:rsidR="00B64401" w:rsidRDefault="00E71E12" w:rsidP="00B64401">
      <w:pPr>
        <w:pStyle w:val="Paragraphedeliste"/>
        <w:rPr>
          <w:rFonts w:eastAsia="Times New Roman" w:cs="Times New Roman"/>
          <w:szCs w:val="20"/>
          <w:lang w:eastAsia="fr-FR"/>
        </w:rPr>
      </w:pPr>
      <w:r w:rsidRPr="00B64401">
        <w:rPr>
          <w:rFonts w:eastAsia="Times New Roman" w:cs="Times New Roman"/>
          <w:szCs w:val="20"/>
          <w:lang w:eastAsia="fr-FR"/>
        </w:rPr>
        <w:t>Patients divisés en</w:t>
      </w:r>
      <w:r w:rsidR="00B64401">
        <w:rPr>
          <w:rFonts w:eastAsia="Times New Roman" w:cs="Times New Roman"/>
          <w:szCs w:val="20"/>
          <w:lang w:eastAsia="fr-FR"/>
        </w:rPr>
        <w:t xml:space="preserve"> plusieurs groupes :</w:t>
      </w:r>
      <w:r w:rsidRPr="00B64401">
        <w:rPr>
          <w:rFonts w:eastAsia="Times New Roman" w:cs="Times New Roman"/>
          <w:szCs w:val="20"/>
          <w:lang w:eastAsia="fr-FR"/>
        </w:rPr>
        <w:t xml:space="preserve"> asymptomatiques, atteintes des voies respiratoires hautes, atteinte des voies respiratoires basses.  </w:t>
      </w:r>
    </w:p>
    <w:p w:rsidR="00B64401" w:rsidRDefault="00E71E12" w:rsidP="00B64401">
      <w:pPr>
        <w:pStyle w:val="Paragraphedeliste"/>
        <w:rPr>
          <w:rFonts w:eastAsia="Times New Roman" w:cs="Times New Roman"/>
          <w:szCs w:val="20"/>
          <w:lang w:eastAsia="fr-FR"/>
        </w:rPr>
      </w:pPr>
      <w:r w:rsidRPr="00B64401">
        <w:rPr>
          <w:rFonts w:eastAsia="Times New Roman" w:cs="Times New Roman"/>
          <w:szCs w:val="20"/>
          <w:lang w:eastAsia="fr-FR"/>
        </w:rPr>
        <w:t xml:space="preserve">PCR réalisé à J0 puis quotidiennement jusqu’à J14. </w:t>
      </w:r>
    </w:p>
    <w:p w:rsidR="00B64401" w:rsidRDefault="00E71E12" w:rsidP="00B64401">
      <w:pPr>
        <w:pStyle w:val="Paragraphedeliste"/>
        <w:rPr>
          <w:rFonts w:eastAsia="Times New Roman" w:cs="Times New Roman"/>
          <w:szCs w:val="20"/>
          <w:lang w:eastAsia="fr-FR"/>
        </w:rPr>
      </w:pPr>
      <w:r w:rsidRPr="00B64401">
        <w:rPr>
          <w:rFonts w:eastAsia="Times New Roman" w:cs="Times New Roman"/>
          <w:szCs w:val="20"/>
          <w:lang w:eastAsia="fr-FR"/>
        </w:rPr>
        <w:t xml:space="preserve">Inclusion de 42 </w:t>
      </w:r>
      <w:r w:rsidR="00B64401" w:rsidRPr="00B64401">
        <w:rPr>
          <w:rFonts w:eastAsia="Times New Roman" w:cs="Times New Roman"/>
          <w:szCs w:val="20"/>
          <w:lang w:eastAsia="fr-FR"/>
        </w:rPr>
        <w:t xml:space="preserve">patients initialement. </w:t>
      </w:r>
    </w:p>
    <w:p w:rsidR="00B64401" w:rsidRPr="00B64401" w:rsidRDefault="00B64401" w:rsidP="00B64401">
      <w:pPr>
        <w:pStyle w:val="Paragraphedeliste"/>
      </w:pPr>
      <w:r w:rsidRPr="00B64401">
        <w:rPr>
          <w:rFonts w:eastAsia="Times New Roman" w:cs="Times New Roman"/>
          <w:szCs w:val="20"/>
          <w:lang w:eastAsia="fr-FR"/>
        </w:rPr>
        <w:t>S</w:t>
      </w:r>
      <w:r w:rsidR="00E71E12" w:rsidRPr="00B64401">
        <w:rPr>
          <w:rFonts w:eastAsia="Times New Roman" w:cs="Times New Roman"/>
          <w:szCs w:val="20"/>
          <w:lang w:eastAsia="fr-FR"/>
        </w:rPr>
        <w:t xml:space="preserve">ur les 26 dans le bras </w:t>
      </w:r>
      <w:proofErr w:type="spellStart"/>
      <w:r w:rsidR="00E71E12" w:rsidRPr="00B64401">
        <w:rPr>
          <w:rFonts w:eastAsia="Times New Roman" w:cs="Times New Roman"/>
          <w:szCs w:val="20"/>
          <w:lang w:eastAsia="fr-FR"/>
        </w:rPr>
        <w:t>hydroxychloroquine</w:t>
      </w:r>
      <w:proofErr w:type="spellEnd"/>
      <w:r w:rsidR="00E71E12" w:rsidRPr="00B64401">
        <w:rPr>
          <w:rFonts w:eastAsia="Times New Roman" w:cs="Times New Roman"/>
          <w:szCs w:val="20"/>
          <w:lang w:eastAsia="fr-FR"/>
        </w:rPr>
        <w:t xml:space="preserve"> 6 sont perdus de vus</w:t>
      </w:r>
      <w:r w:rsidRPr="00B64401">
        <w:rPr>
          <w:rFonts w:eastAsia="Times New Roman" w:cs="Times New Roman"/>
          <w:szCs w:val="20"/>
          <w:lang w:eastAsia="fr-FR"/>
        </w:rPr>
        <w:t xml:space="preserve"> (</w:t>
      </w:r>
      <w:r>
        <w:rPr>
          <w:rFonts w:eastAsia="Times New Roman" w:cs="Times New Roman"/>
          <w:szCs w:val="20"/>
          <w:lang w:eastAsia="fr-FR"/>
        </w:rPr>
        <w:t xml:space="preserve">Dont </w:t>
      </w:r>
      <w:r w:rsidRPr="00B64401">
        <w:rPr>
          <w:rFonts w:eastAsia="Times New Roman" w:cs="Times New Roman"/>
          <w:szCs w:val="20"/>
          <w:lang w:eastAsia="fr-FR"/>
        </w:rPr>
        <w:t xml:space="preserve">3 transférés en réanimation, 1 décès, </w:t>
      </w:r>
      <w:r>
        <w:rPr>
          <w:rFonts w:eastAsia="Times New Roman" w:cs="Times New Roman"/>
          <w:szCs w:val="20"/>
          <w:lang w:eastAsia="fr-FR"/>
        </w:rPr>
        <w:t xml:space="preserve">et </w:t>
      </w:r>
      <w:r w:rsidRPr="00B64401">
        <w:rPr>
          <w:rFonts w:eastAsia="Times New Roman" w:cs="Times New Roman"/>
          <w:szCs w:val="20"/>
          <w:lang w:eastAsia="fr-FR"/>
        </w:rPr>
        <w:t>1 arrêt pour effets indésirables</w:t>
      </w:r>
      <w:r>
        <w:rPr>
          <w:rFonts w:eastAsia="Times New Roman" w:cs="Times New Roman"/>
          <w:szCs w:val="20"/>
          <w:lang w:eastAsia="fr-FR"/>
        </w:rPr>
        <w:t>)</w:t>
      </w:r>
      <w:r w:rsidR="00E71E12" w:rsidRPr="00B64401">
        <w:rPr>
          <w:rFonts w:eastAsia="Times New Roman" w:cs="Times New Roman"/>
          <w:szCs w:val="20"/>
          <w:lang w:eastAsia="fr-FR"/>
        </w:rPr>
        <w:t xml:space="preserve">. </w:t>
      </w:r>
    </w:p>
    <w:p w:rsidR="00B64401" w:rsidRDefault="00E71E12" w:rsidP="00B64401">
      <w:pPr>
        <w:pStyle w:val="Paragraphedeliste"/>
        <w:rPr>
          <w:rFonts w:eastAsia="Times New Roman" w:cs="Times New Roman"/>
          <w:szCs w:val="20"/>
          <w:lang w:eastAsia="fr-FR"/>
        </w:rPr>
      </w:pPr>
      <w:r w:rsidRPr="00B64401">
        <w:rPr>
          <w:rFonts w:eastAsia="Times New Roman" w:cs="Times New Roman"/>
          <w:szCs w:val="20"/>
          <w:lang w:eastAsia="fr-FR"/>
        </w:rPr>
        <w:t xml:space="preserve">A J6 70% patients du bras </w:t>
      </w:r>
      <w:proofErr w:type="spellStart"/>
      <w:r w:rsidRPr="00B64401">
        <w:rPr>
          <w:rFonts w:eastAsia="Times New Roman" w:cs="Times New Roman"/>
          <w:szCs w:val="20"/>
          <w:lang w:eastAsia="fr-FR"/>
        </w:rPr>
        <w:t>hydroxychloroquine</w:t>
      </w:r>
      <w:proofErr w:type="spellEnd"/>
      <w:r w:rsidRPr="00B64401">
        <w:rPr>
          <w:rFonts w:eastAsia="Times New Roman" w:cs="Times New Roman"/>
          <w:szCs w:val="20"/>
          <w:lang w:eastAsia="fr-FR"/>
        </w:rPr>
        <w:t xml:space="preserve"> ont </w:t>
      </w:r>
      <w:proofErr w:type="spellStart"/>
      <w:r w:rsidRPr="00B64401">
        <w:rPr>
          <w:rFonts w:eastAsia="Times New Roman" w:cs="Times New Roman"/>
          <w:szCs w:val="20"/>
          <w:lang w:eastAsia="fr-FR"/>
        </w:rPr>
        <w:t>négativé</w:t>
      </w:r>
      <w:proofErr w:type="spellEnd"/>
      <w:r w:rsidRPr="00B64401">
        <w:rPr>
          <w:rFonts w:eastAsia="Times New Roman" w:cs="Times New Roman"/>
          <w:szCs w:val="20"/>
          <w:lang w:eastAsia="fr-FR"/>
        </w:rPr>
        <w:t xml:space="preserve"> leur PCR (résultats visibles dès j3) versus 12,5% dans le bras </w:t>
      </w:r>
      <w:proofErr w:type="spellStart"/>
      <w:r w:rsidRPr="00B64401">
        <w:rPr>
          <w:rFonts w:eastAsia="Times New Roman" w:cs="Times New Roman"/>
          <w:szCs w:val="20"/>
          <w:lang w:eastAsia="fr-FR"/>
        </w:rPr>
        <w:t>control</w:t>
      </w:r>
      <w:r w:rsidR="00B64401">
        <w:rPr>
          <w:rFonts w:eastAsia="Times New Roman" w:cs="Times New Roman"/>
          <w:szCs w:val="20"/>
          <w:lang w:eastAsia="fr-FR"/>
        </w:rPr>
        <w:t>e</w:t>
      </w:r>
      <w:proofErr w:type="spellEnd"/>
      <w:r w:rsidRPr="00B64401">
        <w:rPr>
          <w:rFonts w:eastAsia="Times New Roman" w:cs="Times New Roman"/>
          <w:szCs w:val="20"/>
          <w:lang w:eastAsia="fr-FR"/>
        </w:rPr>
        <w:t xml:space="preserve">. </w:t>
      </w:r>
    </w:p>
    <w:p w:rsidR="00B64401" w:rsidRDefault="00E71E12" w:rsidP="00B64401">
      <w:pPr>
        <w:pStyle w:val="Paragraphedeliste"/>
        <w:rPr>
          <w:rFonts w:eastAsia="Times New Roman" w:cs="Times New Roman"/>
          <w:szCs w:val="20"/>
          <w:lang w:eastAsia="fr-FR"/>
        </w:rPr>
      </w:pPr>
      <w:r w:rsidRPr="00B64401">
        <w:rPr>
          <w:rFonts w:eastAsia="Times New Roman" w:cs="Times New Roman"/>
          <w:szCs w:val="20"/>
          <w:lang w:eastAsia="fr-FR"/>
        </w:rPr>
        <w:t xml:space="preserve">Dans le sous-groupe </w:t>
      </w:r>
      <w:proofErr w:type="spellStart"/>
      <w:r w:rsidRPr="00B64401">
        <w:rPr>
          <w:rFonts w:eastAsia="Times New Roman" w:cs="Times New Roman"/>
          <w:szCs w:val="20"/>
          <w:lang w:eastAsia="fr-FR"/>
        </w:rPr>
        <w:t>azithromycine</w:t>
      </w:r>
      <w:proofErr w:type="spellEnd"/>
      <w:r w:rsidRPr="00B64401">
        <w:rPr>
          <w:rFonts w:eastAsia="Times New Roman" w:cs="Times New Roman"/>
          <w:szCs w:val="20"/>
          <w:lang w:eastAsia="fr-FR"/>
        </w:rPr>
        <w:t xml:space="preserve"> + </w:t>
      </w:r>
      <w:proofErr w:type="spellStart"/>
      <w:r w:rsidRPr="00B64401">
        <w:rPr>
          <w:rFonts w:eastAsia="Times New Roman" w:cs="Times New Roman"/>
          <w:szCs w:val="20"/>
          <w:lang w:eastAsia="fr-FR"/>
        </w:rPr>
        <w:t>hydroxychloroquine</w:t>
      </w:r>
      <w:proofErr w:type="spellEnd"/>
      <w:r w:rsidRPr="00B64401">
        <w:rPr>
          <w:rFonts w:eastAsia="Times New Roman" w:cs="Times New Roman"/>
          <w:szCs w:val="20"/>
          <w:lang w:eastAsia="fr-FR"/>
        </w:rPr>
        <w:t xml:space="preserve"> 100% patients avaient </w:t>
      </w:r>
      <w:proofErr w:type="spellStart"/>
      <w:r w:rsidRPr="00B64401">
        <w:rPr>
          <w:rFonts w:eastAsia="Times New Roman" w:cs="Times New Roman"/>
          <w:szCs w:val="20"/>
          <w:lang w:eastAsia="fr-FR"/>
        </w:rPr>
        <w:t>négativé</w:t>
      </w:r>
      <w:proofErr w:type="spellEnd"/>
      <w:r w:rsidRPr="00B64401">
        <w:rPr>
          <w:rFonts w:eastAsia="Times New Roman" w:cs="Times New Roman"/>
          <w:szCs w:val="20"/>
          <w:lang w:eastAsia="fr-FR"/>
        </w:rPr>
        <w:t xml:space="preserve"> leur PCR. </w:t>
      </w:r>
    </w:p>
    <w:p w:rsidR="00B64401" w:rsidRDefault="00B64401" w:rsidP="00B64401">
      <w:pPr>
        <w:pStyle w:val="Paragraphedeliste"/>
        <w:rPr>
          <w:rFonts w:eastAsia="Times New Roman" w:cs="Times New Roman"/>
          <w:szCs w:val="20"/>
          <w:lang w:eastAsia="fr-FR"/>
        </w:rPr>
      </w:pPr>
      <w:r>
        <w:rPr>
          <w:rFonts w:eastAsia="Times New Roman" w:cs="Times New Roman"/>
          <w:szCs w:val="20"/>
          <w:lang w:eastAsia="fr-FR"/>
        </w:rPr>
        <w:t xml:space="preserve">Ces résultats paraissent </w:t>
      </w:r>
      <w:r w:rsidR="00E71E12" w:rsidRPr="00B64401">
        <w:rPr>
          <w:rFonts w:eastAsia="Times New Roman" w:cs="Times New Roman"/>
          <w:szCs w:val="20"/>
          <w:lang w:eastAsia="fr-FR"/>
        </w:rPr>
        <w:t>encourageant….</w:t>
      </w:r>
    </w:p>
    <w:p w:rsidR="003D508A" w:rsidRDefault="00E71E12" w:rsidP="00B64401">
      <w:pPr>
        <w:pStyle w:val="Paragraphedeliste"/>
        <w:rPr>
          <w:rFonts w:eastAsia="Times New Roman" w:cs="Times New Roman"/>
          <w:szCs w:val="20"/>
          <w:lang w:eastAsia="fr-FR"/>
        </w:rPr>
      </w:pPr>
      <w:r w:rsidRPr="00B64401">
        <w:rPr>
          <w:rFonts w:eastAsia="Times New Roman" w:cs="Times New Roman"/>
          <w:szCs w:val="20"/>
          <w:lang w:eastAsia="fr-FR"/>
        </w:rPr>
        <w:t xml:space="preserve">Cependant, la méthodologie de </w:t>
      </w:r>
      <w:r w:rsidR="00B64401">
        <w:rPr>
          <w:rFonts w:eastAsia="Times New Roman" w:cs="Times New Roman"/>
          <w:szCs w:val="20"/>
          <w:lang w:eastAsia="fr-FR"/>
        </w:rPr>
        <w:t xml:space="preserve">l’étude semble bancale : </w:t>
      </w:r>
      <w:r w:rsidR="003D508A">
        <w:rPr>
          <w:rFonts w:eastAsia="Times New Roman" w:cs="Times New Roman"/>
          <w:szCs w:val="20"/>
          <w:lang w:eastAsia="fr-FR"/>
        </w:rPr>
        <w:t>la PCR est non fiables : fluctuante d’un jour à l’autre chez le même patient (problématique quand le critère de jugement est la PCR) et n’est pas réalisée quotidiennement dans le groupe contrôle, le critère de jugement principal n’est pas pertinent  (</w:t>
      </w:r>
      <w:r w:rsidR="003D508A" w:rsidRPr="00B64401">
        <w:rPr>
          <w:rFonts w:eastAsia="Times New Roman" w:cs="Times New Roman"/>
          <w:szCs w:val="20"/>
          <w:lang w:eastAsia="fr-FR"/>
        </w:rPr>
        <w:t>aucune données de la littérature ne permet d’affirmer une corrélation entre la diminution voire la négativité de la charge virale et l’amélioration clinique des patients</w:t>
      </w:r>
      <w:r w:rsidR="003D508A">
        <w:rPr>
          <w:rFonts w:eastAsia="Times New Roman" w:cs="Times New Roman"/>
          <w:szCs w:val="20"/>
          <w:lang w:eastAsia="fr-FR"/>
        </w:rPr>
        <w:t xml:space="preserve">) , et les critères de jugement secondaires (notamment cliniques) sont passés sous silence dans la publication, </w:t>
      </w:r>
      <w:r w:rsidR="00B64401">
        <w:rPr>
          <w:rFonts w:eastAsia="Times New Roman" w:cs="Times New Roman"/>
          <w:szCs w:val="20"/>
          <w:lang w:eastAsia="fr-FR"/>
        </w:rPr>
        <w:t xml:space="preserve">les deux bras ne sont pas comparables (Hôpital de </w:t>
      </w:r>
      <w:r w:rsidR="003D508A">
        <w:rPr>
          <w:rFonts w:eastAsia="Times New Roman" w:cs="Times New Roman"/>
          <w:szCs w:val="20"/>
          <w:lang w:eastAsia="fr-FR"/>
        </w:rPr>
        <w:t xml:space="preserve">prise en charge différent, âge différent..), l’essai est en ouvert, l’analyse n’est pas en intention de traiter et les patients les plus sévères ou avec des complications ne sont pas inclus dans l’analyse… </w:t>
      </w:r>
    </w:p>
    <w:p w:rsidR="00E71E12" w:rsidRDefault="00E71E12" w:rsidP="00B64401">
      <w:pPr>
        <w:pStyle w:val="Paragraphedeliste"/>
        <w:rPr>
          <w:rFonts w:eastAsia="Times New Roman" w:cs="Times New Roman"/>
          <w:szCs w:val="20"/>
          <w:lang w:eastAsia="fr-FR"/>
        </w:rPr>
      </w:pPr>
      <w:r w:rsidRPr="00B64401">
        <w:rPr>
          <w:rFonts w:eastAsia="Times New Roman" w:cs="Times New Roman"/>
          <w:szCs w:val="20"/>
          <w:lang w:eastAsia="fr-FR"/>
        </w:rPr>
        <w:t xml:space="preserve">Nous ne pouvons conclure sur l’efficacité de ce traitement. </w:t>
      </w:r>
    </w:p>
    <w:p w:rsidR="00CD15C9" w:rsidRDefault="00CD15C9" w:rsidP="008E2906">
      <w:pPr>
        <w:spacing w:after="0"/>
      </w:pPr>
    </w:p>
    <w:p w:rsidR="008E2906" w:rsidRPr="003D508A" w:rsidRDefault="008E2906" w:rsidP="008E2906">
      <w:pPr>
        <w:pStyle w:val="Paragraphedeliste"/>
        <w:numPr>
          <w:ilvl w:val="0"/>
          <w:numId w:val="8"/>
        </w:numPr>
        <w:spacing w:after="0"/>
        <w:rPr>
          <w:b/>
        </w:rPr>
      </w:pPr>
      <w:r w:rsidRPr="003D508A">
        <w:rPr>
          <w:b/>
          <w:lang w:val="en-US"/>
        </w:rPr>
        <w:t xml:space="preserve">Effective treatment of severe COVID-19 patients with Tocilizumab. </w:t>
      </w:r>
      <w:r w:rsidRPr="003D508A">
        <w:rPr>
          <w:b/>
        </w:rPr>
        <w:t xml:space="preserve">Xu X et al. </w:t>
      </w:r>
      <w:r w:rsidRPr="003D508A">
        <w:rPr>
          <w:b/>
          <w:i/>
        </w:rPr>
        <w:t>Publication en cours</w:t>
      </w:r>
    </w:p>
    <w:p w:rsidR="008E2906" w:rsidRDefault="008E2906" w:rsidP="008E2906">
      <w:pPr>
        <w:pStyle w:val="Paragraphedeliste"/>
      </w:pPr>
    </w:p>
    <w:p w:rsidR="008E2906" w:rsidRPr="00141BDD" w:rsidRDefault="00CD15C9" w:rsidP="008E2906">
      <w:pPr>
        <w:pStyle w:val="Paragraphedeliste"/>
        <w:spacing w:after="0"/>
        <w:rPr>
          <w:b/>
        </w:rPr>
      </w:pPr>
      <w:r>
        <w:t xml:space="preserve">Le </w:t>
      </w:r>
      <w:proofErr w:type="spellStart"/>
      <w:r>
        <w:t>Tocilizumab</w:t>
      </w:r>
      <w:proofErr w:type="spellEnd"/>
      <w:r>
        <w:t xml:space="preserve"> est un anticorps monoclonal inhibiteur du récepteur de l’IL-6 (interleukine responsable de l’inflammation). Rationnel : l’atteinte pulmonaire est en grande partie due à un orage </w:t>
      </w:r>
      <w:proofErr w:type="spellStart"/>
      <w:r>
        <w:t>cytokinique</w:t>
      </w:r>
      <w:proofErr w:type="spellEnd"/>
      <w:r>
        <w:t xml:space="preserve"> inflammatoire, nota</w:t>
      </w:r>
      <w:r w:rsidR="008E2906">
        <w:t xml:space="preserve">mment chez les patients jeunes (on peut faire le parallèle avec le syndrome de relargage </w:t>
      </w:r>
      <w:proofErr w:type="spellStart"/>
      <w:r w:rsidR="008E2906">
        <w:t>cytokinique</w:t>
      </w:r>
      <w:proofErr w:type="spellEnd"/>
      <w:r w:rsidR="008E2906">
        <w:t xml:space="preserve"> chez les patients traités par CAR-T </w:t>
      </w:r>
      <w:proofErr w:type="spellStart"/>
      <w:r w:rsidR="008E2906">
        <w:t>cells</w:t>
      </w:r>
      <w:proofErr w:type="spellEnd"/>
      <w:r w:rsidR="008E2906">
        <w:t xml:space="preserve">, et dont le traitement fait appel au </w:t>
      </w:r>
      <w:proofErr w:type="spellStart"/>
      <w:r w:rsidR="008E2906">
        <w:t>Tocilizumab</w:t>
      </w:r>
      <w:proofErr w:type="spellEnd"/>
      <w:r w:rsidR="008E2906">
        <w:t xml:space="preserve">). </w:t>
      </w:r>
    </w:p>
    <w:p w:rsidR="008E2906" w:rsidRDefault="008E2906" w:rsidP="008E2906">
      <w:pPr>
        <w:pStyle w:val="Paragraphedeliste"/>
      </w:pPr>
    </w:p>
    <w:p w:rsidR="008E2906" w:rsidRDefault="008E2906" w:rsidP="008E2906">
      <w:pPr>
        <w:pStyle w:val="Paragraphedeliste"/>
        <w:spacing w:after="0"/>
      </w:pPr>
      <w:r>
        <w:t xml:space="preserve">Dans cet essai </w:t>
      </w:r>
      <w:proofErr w:type="spellStart"/>
      <w:r>
        <w:t>monocentrique</w:t>
      </w:r>
      <w:proofErr w:type="spellEnd"/>
      <w:r>
        <w:t xml:space="preserve">, </w:t>
      </w:r>
      <w:proofErr w:type="spellStart"/>
      <w:r>
        <w:t>retrospectif</w:t>
      </w:r>
      <w:proofErr w:type="spellEnd"/>
      <w:r>
        <w:t>,  en ouvert, non comparatif : les données</w:t>
      </w:r>
      <w:r w:rsidRPr="008E2906">
        <w:t xml:space="preserve"> </w:t>
      </w:r>
      <w:r>
        <w:t xml:space="preserve">cliniques/biologiques/radiologiques de 21 patients sévères étaient analysées. </w:t>
      </w:r>
    </w:p>
    <w:p w:rsidR="008E2906" w:rsidRDefault="008E2906" w:rsidP="008E2906">
      <w:pPr>
        <w:pStyle w:val="Paragraphedeliste"/>
        <w:spacing w:after="0"/>
      </w:pPr>
      <w:r>
        <w:t xml:space="preserve"> Il était observé une nette diminution des besoins en oxygène et une amélioration des images </w:t>
      </w:r>
      <w:proofErr w:type="spellStart"/>
      <w:r>
        <w:t>scannographiques</w:t>
      </w:r>
      <w:proofErr w:type="spellEnd"/>
      <w:r>
        <w:t xml:space="preserve"> à J5. </w:t>
      </w:r>
    </w:p>
    <w:p w:rsidR="008E2906" w:rsidRDefault="008E2906" w:rsidP="008E2906">
      <w:pPr>
        <w:pStyle w:val="Paragraphedeliste"/>
        <w:spacing w:after="0"/>
      </w:pPr>
      <w:r>
        <w:t xml:space="preserve">A noter : fièvre et CRP diminuent mais ça n’est pas un critère d’efficacité de ce traitement puisque son mode d’action se fait via les protéines de l’inflammation. </w:t>
      </w:r>
    </w:p>
    <w:p w:rsidR="008E2906" w:rsidRPr="00856867" w:rsidRDefault="008E2906" w:rsidP="008E2906"/>
    <w:p w:rsidR="00E71E12" w:rsidRDefault="00E71E12" w:rsidP="00E71E12">
      <w:pPr>
        <w:pStyle w:val="Paragraphedeliste"/>
      </w:pPr>
    </w:p>
    <w:p w:rsidR="008E2906" w:rsidRDefault="00E71E12" w:rsidP="003D508A">
      <w:pPr>
        <w:pStyle w:val="Paragraphedeliste"/>
        <w:numPr>
          <w:ilvl w:val="0"/>
          <w:numId w:val="8"/>
        </w:numPr>
      </w:pPr>
      <w:r>
        <w:t xml:space="preserve">Un essai randomisé ouvert DISCOVERY européen à 4 bras </w:t>
      </w:r>
      <w:r w:rsidR="003D508A">
        <w:t xml:space="preserve"> a débuté </w:t>
      </w:r>
      <w:r>
        <w:t>depuis Dim</w:t>
      </w:r>
      <w:r w:rsidR="003D508A">
        <w:t>anche 20/03/2020 mené par INSERM</w:t>
      </w:r>
    </w:p>
    <w:p w:rsidR="008E2906" w:rsidRDefault="008E2906" w:rsidP="00644C2E">
      <w:pPr>
        <w:spacing w:after="0"/>
      </w:pPr>
    </w:p>
    <w:p w:rsidR="000507D9" w:rsidRDefault="008E2906" w:rsidP="00644C2E">
      <w:pPr>
        <w:spacing w:after="0"/>
        <w:rPr>
          <w:b/>
          <w:u w:val="single"/>
        </w:rPr>
      </w:pPr>
      <w:r>
        <w:rPr>
          <w:b/>
          <w:u w:val="single"/>
        </w:rPr>
        <w:t>3</w:t>
      </w:r>
      <w:r w:rsidR="00E71E12">
        <w:rPr>
          <w:b/>
          <w:u w:val="single"/>
        </w:rPr>
        <w:t>) Considérations éthiques :</w:t>
      </w:r>
    </w:p>
    <w:p w:rsidR="000507D9" w:rsidRDefault="000507D9" w:rsidP="00644C2E">
      <w:pPr>
        <w:spacing w:after="0"/>
        <w:rPr>
          <w:b/>
          <w:u w:val="single"/>
        </w:rPr>
      </w:pPr>
    </w:p>
    <w:p w:rsidR="00DD7195" w:rsidRPr="00DD7195" w:rsidRDefault="00DD7195" w:rsidP="00644C2E">
      <w:pPr>
        <w:spacing w:after="0"/>
        <w:rPr>
          <w:b/>
          <w:u w:val="single"/>
        </w:rPr>
      </w:pPr>
      <w:r w:rsidRPr="00DD7195">
        <w:rPr>
          <w:b/>
          <w:u w:val="single"/>
        </w:rPr>
        <w:t>Résumé RPMO Ethique réanimation COVID19</w:t>
      </w:r>
      <w:r>
        <w:t xml:space="preserve"> : </w:t>
      </w:r>
      <w:r w:rsidRPr="00DD7195">
        <w:rPr>
          <w:b/>
        </w:rPr>
        <w:t>Enjeux éthiques de l’accès aux soins de réanimation et autres soins critiques (SC) en contexte de pandémie COVID-19</w:t>
      </w:r>
      <w:r>
        <w:rPr>
          <w:b/>
        </w:rPr>
        <w:t xml:space="preserve">  </w:t>
      </w:r>
      <w:r w:rsidRPr="00DD7195">
        <w:t xml:space="preserve">(16 </w:t>
      </w:r>
      <w:r>
        <w:t xml:space="preserve">mars 2020) </w:t>
      </w:r>
    </w:p>
    <w:p w:rsidR="000507D9" w:rsidRDefault="000507D9" w:rsidP="00644C2E">
      <w:pPr>
        <w:spacing w:after="0"/>
        <w:rPr>
          <w:b/>
          <w:u w:val="single"/>
        </w:rPr>
      </w:pPr>
    </w:p>
    <w:p w:rsidR="00DD7195" w:rsidRDefault="00DD7195" w:rsidP="00644C2E">
      <w:pPr>
        <w:spacing w:after="0"/>
      </w:pPr>
      <w:r>
        <w:t xml:space="preserve">La question de l’admission ou non en réanimation est centrale dans la crise actuelle. </w:t>
      </w:r>
    </w:p>
    <w:p w:rsidR="00DD7195" w:rsidRDefault="00DD7195" w:rsidP="00644C2E">
      <w:pPr>
        <w:spacing w:after="0"/>
      </w:pPr>
      <w:r>
        <w:t xml:space="preserve">Ce groupe de travail propose un certain nombre de point pouvant guider la décision. </w:t>
      </w:r>
    </w:p>
    <w:p w:rsidR="00DD7195" w:rsidRDefault="00DD7195" w:rsidP="00644C2E">
      <w:pPr>
        <w:spacing w:after="0"/>
      </w:pPr>
      <w:r>
        <w:t xml:space="preserve">Un arbre d’aide à la décision est également proposé. </w:t>
      </w:r>
    </w:p>
    <w:p w:rsidR="00DD7195" w:rsidRDefault="003F43F7" w:rsidP="00644C2E">
      <w:pPr>
        <w:spacing w:after="0"/>
      </w:pPr>
      <w:r>
        <w:t>Par ailleurs, i</w:t>
      </w:r>
      <w:r w:rsidR="00DD7195">
        <w:t>l est souligné l’importance du recueil de la volonté du patient et de l’accompagnement du patient quelle que soit la décision prise, notamment via des soins de fin de vie appropriés</w:t>
      </w:r>
      <w:r>
        <w:t xml:space="preserve">, </w:t>
      </w:r>
      <w:r w:rsidR="00DD7195">
        <w:t xml:space="preserve"> au domicile, à l’hôpital ou dans d’autres structures de soins</w:t>
      </w:r>
      <w:r>
        <w:t>,</w:t>
      </w:r>
      <w:r w:rsidR="00DD7195">
        <w:t xml:space="preserve"> en permettant au maximum la présence d’un proche. </w:t>
      </w:r>
    </w:p>
    <w:p w:rsidR="00DD7195" w:rsidRPr="00DD7195" w:rsidRDefault="00DD7195" w:rsidP="00644C2E">
      <w:pPr>
        <w:spacing w:after="0"/>
      </w:pPr>
      <w:r>
        <w:t>Il est souligné également l’importance du caractère pluridisciplinaire</w:t>
      </w:r>
      <w:r w:rsidR="003F43F7">
        <w:t xml:space="preserve"> de ces décisions et l’importance de mise en jeu des comités d’éthiques locaux. </w:t>
      </w:r>
    </w:p>
    <w:p w:rsidR="000507D9" w:rsidRDefault="000507D9" w:rsidP="00644C2E">
      <w:pPr>
        <w:spacing w:after="0"/>
        <w:rPr>
          <w:b/>
          <w:u w:val="single"/>
        </w:rPr>
      </w:pPr>
    </w:p>
    <w:p w:rsidR="000507D9" w:rsidRDefault="00384597" w:rsidP="00644C2E">
      <w:pPr>
        <w:spacing w:after="0"/>
      </w:pPr>
      <w:r w:rsidRPr="00361FF4">
        <w:rPr>
          <w:b/>
        </w:rPr>
        <w:t>La SFAP (société française d’accompagnement et de soins palliatifs)</w:t>
      </w:r>
      <w:r>
        <w:t xml:space="preserve"> </w:t>
      </w:r>
      <w:r w:rsidRPr="00384597">
        <w:t xml:space="preserve">a émis des fiches conseil pour la gestion des symptômes de dyspnée au domicile ou en EHPAD chez les patients dont l’accompagnement de fin de vie se fait dans ces structures. </w:t>
      </w:r>
    </w:p>
    <w:p w:rsidR="00384597" w:rsidRDefault="00384597" w:rsidP="00644C2E">
      <w:pPr>
        <w:spacing w:after="0"/>
        <w:rPr>
          <w:rStyle w:val="Lienhypertexte"/>
        </w:rPr>
      </w:pPr>
      <w:r>
        <w:t xml:space="preserve">Elles sont à retrouver sur leur site internet : </w:t>
      </w:r>
      <w:hyperlink r:id="rId8" w:history="1">
        <w:r w:rsidRPr="00384597">
          <w:rPr>
            <w:rStyle w:val="Lienhypertexte"/>
          </w:rPr>
          <w:t>SFAP.org</w:t>
        </w:r>
      </w:hyperlink>
    </w:p>
    <w:p w:rsidR="001A7757" w:rsidRPr="00384597" w:rsidRDefault="001A7757" w:rsidP="00644C2E">
      <w:pPr>
        <w:spacing w:after="0"/>
      </w:pPr>
      <w:r>
        <w:rPr>
          <w:rStyle w:val="Lienhypertexte"/>
        </w:rPr>
        <w:t>(</w:t>
      </w:r>
      <w:hyperlink r:id="rId9" w:history="1">
        <w:r>
          <w:rPr>
            <w:rStyle w:val="Lienhypertexte"/>
          </w:rPr>
          <w:t>http://www.sfap.org/actualite/outils-et-ressources-soins-palliatifs-et-covid-19</w:t>
        </w:r>
      </w:hyperlink>
      <w:r>
        <w:t>)</w:t>
      </w:r>
    </w:p>
    <w:p w:rsidR="000507D9" w:rsidRDefault="000507D9" w:rsidP="00644C2E">
      <w:pPr>
        <w:spacing w:after="0"/>
        <w:rPr>
          <w:b/>
          <w:u w:val="single"/>
        </w:rPr>
      </w:pPr>
    </w:p>
    <w:p w:rsidR="009C5C62" w:rsidRPr="00EC6401" w:rsidRDefault="009C5C62" w:rsidP="00644C2E">
      <w:pPr>
        <w:spacing w:after="0"/>
        <w:rPr>
          <w:b/>
          <w:u w:val="single"/>
        </w:rPr>
      </w:pPr>
    </w:p>
    <w:p w:rsidR="00EC6401" w:rsidRDefault="008E2906" w:rsidP="00644C2E">
      <w:pPr>
        <w:spacing w:after="0"/>
        <w:rPr>
          <w:b/>
          <w:u w:val="single"/>
        </w:rPr>
      </w:pPr>
      <w:r>
        <w:rPr>
          <w:b/>
          <w:u w:val="single"/>
        </w:rPr>
        <w:t>4</w:t>
      </w:r>
      <w:r w:rsidR="00EC6401" w:rsidRPr="00EC6401">
        <w:rPr>
          <w:b/>
          <w:u w:val="single"/>
        </w:rPr>
        <w:t xml:space="preserve">) SARS-CoV-2 et cancer : </w:t>
      </w:r>
    </w:p>
    <w:p w:rsidR="000507D9" w:rsidRDefault="000507D9" w:rsidP="00644C2E">
      <w:pPr>
        <w:spacing w:after="0"/>
        <w:rPr>
          <w:b/>
          <w:u w:val="single"/>
        </w:rPr>
      </w:pPr>
    </w:p>
    <w:p w:rsidR="000507D9" w:rsidRPr="00EC6401" w:rsidRDefault="000507D9" w:rsidP="00644C2E">
      <w:pPr>
        <w:spacing w:after="0"/>
        <w:rPr>
          <w:b/>
          <w:u w:val="single"/>
        </w:rPr>
      </w:pPr>
    </w:p>
    <w:p w:rsidR="00EC6401" w:rsidRDefault="00EC6401" w:rsidP="00644C2E">
      <w:pPr>
        <w:autoSpaceDE w:val="0"/>
        <w:autoSpaceDN w:val="0"/>
        <w:adjustRightInd w:val="0"/>
        <w:spacing w:after="0" w:line="240" w:lineRule="auto"/>
        <w:rPr>
          <w:rFonts w:cs="Shaker2Lancet-Bold"/>
          <w:b/>
          <w:bCs/>
        </w:rPr>
      </w:pPr>
      <w:r w:rsidRPr="00EC6401">
        <w:rPr>
          <w:rFonts w:cs="Shaker2Lancet-Bold"/>
          <w:b/>
          <w:bCs/>
          <w:u w:val="single"/>
        </w:rPr>
        <w:t xml:space="preserve">Lancet </w:t>
      </w:r>
      <w:proofErr w:type="spellStart"/>
      <w:r w:rsidRPr="00EC6401">
        <w:rPr>
          <w:rFonts w:cs="Shaker2Lancet-Bold"/>
          <w:b/>
          <w:bCs/>
          <w:u w:val="single"/>
        </w:rPr>
        <w:t>Oncology</w:t>
      </w:r>
      <w:proofErr w:type="spellEnd"/>
      <w:r w:rsidRPr="009E29D4">
        <w:rPr>
          <w:rFonts w:cs="Shaker2Lancet-Bold"/>
          <w:b/>
          <w:bCs/>
        </w:rPr>
        <w:t xml:space="preserve"> : Cancer patients in SARS-CoV-2 infection: </w:t>
      </w:r>
      <w:proofErr w:type="spellStart"/>
      <w:proofErr w:type="gramStart"/>
      <w:r w:rsidRPr="009E29D4">
        <w:rPr>
          <w:rFonts w:cs="Shaker2Lancet-Bold"/>
          <w:b/>
          <w:bCs/>
        </w:rPr>
        <w:t>a</w:t>
      </w:r>
      <w:proofErr w:type="spellEnd"/>
      <w:proofErr w:type="gramEnd"/>
      <w:r w:rsidRPr="009E29D4">
        <w:rPr>
          <w:rFonts w:cs="Shaker2Lancet-Bold"/>
          <w:b/>
          <w:bCs/>
        </w:rPr>
        <w:t xml:space="preserve"> </w:t>
      </w:r>
      <w:proofErr w:type="spellStart"/>
      <w:r w:rsidRPr="009E29D4">
        <w:rPr>
          <w:rFonts w:cs="Shaker2Lancet-Bold"/>
          <w:b/>
          <w:bCs/>
        </w:rPr>
        <w:t>nationwide</w:t>
      </w:r>
      <w:proofErr w:type="spellEnd"/>
      <w:r w:rsidRPr="009E29D4">
        <w:rPr>
          <w:rFonts w:cs="Shaker2Lancet-Bold"/>
          <w:b/>
          <w:bCs/>
        </w:rPr>
        <w:t xml:space="preserve"> </w:t>
      </w:r>
      <w:proofErr w:type="spellStart"/>
      <w:r w:rsidRPr="009E29D4">
        <w:rPr>
          <w:rFonts w:cs="Shaker2Lancet-Bold"/>
          <w:b/>
          <w:bCs/>
        </w:rPr>
        <w:t>analysis</w:t>
      </w:r>
      <w:proofErr w:type="spellEnd"/>
      <w:r w:rsidRPr="009E29D4">
        <w:rPr>
          <w:rFonts w:cs="Shaker2Lancet-Bold"/>
          <w:b/>
          <w:bCs/>
        </w:rPr>
        <w:t xml:space="preserve"> in China, Liang W. et al. (</w:t>
      </w:r>
      <w:proofErr w:type="spellStart"/>
      <w:proofErr w:type="gramStart"/>
      <w:r w:rsidRPr="009E29D4">
        <w:rPr>
          <w:rFonts w:cs="Shaker2Lancet-Bold"/>
          <w:b/>
          <w:bCs/>
        </w:rPr>
        <w:t>fev</w:t>
      </w:r>
      <w:proofErr w:type="spellEnd"/>
      <w:proofErr w:type="gramEnd"/>
      <w:r w:rsidRPr="009E29D4">
        <w:rPr>
          <w:rFonts w:cs="Shaker2Lancet-Bold"/>
          <w:b/>
          <w:bCs/>
        </w:rPr>
        <w:t xml:space="preserve"> 2020) </w:t>
      </w:r>
    </w:p>
    <w:p w:rsidR="000507D9" w:rsidRDefault="000507D9" w:rsidP="00644C2E">
      <w:pPr>
        <w:autoSpaceDE w:val="0"/>
        <w:autoSpaceDN w:val="0"/>
        <w:adjustRightInd w:val="0"/>
        <w:spacing w:after="0" w:line="240" w:lineRule="auto"/>
        <w:rPr>
          <w:rFonts w:cs="Shaker2Lancet-Bold"/>
          <w:b/>
          <w:bCs/>
        </w:rPr>
      </w:pPr>
    </w:p>
    <w:p w:rsidR="00384597" w:rsidRDefault="00AA3E43" w:rsidP="00384597">
      <w:pPr>
        <w:spacing w:after="0"/>
      </w:pPr>
      <w:r>
        <w:t>P</w:t>
      </w:r>
      <w:r w:rsidR="00384597">
        <w:t xml:space="preserve">remière publication s’intéressant à l’infection par SARS-CoV-2 chez les patients atteints de cancers. </w:t>
      </w:r>
    </w:p>
    <w:p w:rsidR="00384597" w:rsidRDefault="00D0452B" w:rsidP="00384597">
      <w:pPr>
        <w:spacing w:after="0"/>
      </w:pPr>
      <w:r>
        <w:t>C</w:t>
      </w:r>
      <w:r w:rsidR="00384597">
        <w:t xml:space="preserve">ohorte de 1590 patients chinois malade du COVID-19. </w:t>
      </w:r>
    </w:p>
    <w:p w:rsidR="00384597" w:rsidRDefault="00384597" w:rsidP="00384597">
      <w:pPr>
        <w:spacing w:after="0"/>
      </w:pPr>
      <w:r>
        <w:t xml:space="preserve">Parmi eux, 18 étaient atteints de cancer. </w:t>
      </w:r>
    </w:p>
    <w:p w:rsidR="00384597" w:rsidRDefault="00D0452B" w:rsidP="00384597">
      <w:pPr>
        <w:spacing w:after="0"/>
      </w:pPr>
      <w:r>
        <w:t xml:space="preserve">Incidence </w:t>
      </w:r>
      <w:r w:rsidR="00384597">
        <w:t xml:space="preserve"> supérieure à l’incidence du cancer dans la population générale, mais s’agissant d’une population très surveillée et étant face à des effectifs faibles, il est difficile de conclure quoi que ce soit sur cette donnée. </w:t>
      </w:r>
    </w:p>
    <w:p w:rsidR="00384597" w:rsidRDefault="00D0452B" w:rsidP="00384597">
      <w:pPr>
        <w:spacing w:after="0"/>
      </w:pPr>
      <w:r>
        <w:t>Dans cette cohorte, l</w:t>
      </w:r>
      <w:r w:rsidR="00384597">
        <w:t>es patients at</w:t>
      </w:r>
      <w:r>
        <w:t xml:space="preserve">teints de cancer avaient </w:t>
      </w:r>
      <w:r w:rsidR="00384597">
        <w:t xml:space="preserve">des atteintes radiologiques plus importante et développaient des formes plus sévères de la maladie (39% vs 8%, p=0,0003) </w:t>
      </w:r>
    </w:p>
    <w:p w:rsidR="00384597" w:rsidRDefault="00384597" w:rsidP="00384597">
      <w:pPr>
        <w:spacing w:after="0"/>
      </w:pPr>
      <w:r>
        <w:t xml:space="preserve">Les patients ayant reçu un traitement par chirurgie ou chimiothérapie dans le mois précédent, étaient plus à risque d’atteinte sévère. </w:t>
      </w:r>
    </w:p>
    <w:p w:rsidR="00384597" w:rsidRDefault="00D0452B" w:rsidP="00384597">
      <w:pPr>
        <w:spacing w:after="0"/>
      </w:pPr>
      <w:r>
        <w:t xml:space="preserve">De plus, la </w:t>
      </w:r>
      <w:r w:rsidR="00384597">
        <w:t>vitesse de détérioration était plus rapide chez les patients atteints de cancer que chez le reste des patients (13 jours vs 43 jours, p&lt;0,0001)</w:t>
      </w:r>
    </w:p>
    <w:p w:rsidR="000507D9" w:rsidRDefault="000507D9" w:rsidP="00644C2E">
      <w:pPr>
        <w:autoSpaceDE w:val="0"/>
        <w:autoSpaceDN w:val="0"/>
        <w:adjustRightInd w:val="0"/>
        <w:spacing w:after="0" w:line="240" w:lineRule="auto"/>
      </w:pPr>
    </w:p>
    <w:p w:rsidR="00D0452B" w:rsidRDefault="00D0452B" w:rsidP="00644C2E">
      <w:pPr>
        <w:autoSpaceDE w:val="0"/>
        <w:autoSpaceDN w:val="0"/>
        <w:adjustRightInd w:val="0"/>
        <w:spacing w:after="0" w:line="240" w:lineRule="auto"/>
      </w:pPr>
    </w:p>
    <w:p w:rsidR="00D0452B" w:rsidRDefault="00D0452B" w:rsidP="00644C2E">
      <w:pPr>
        <w:autoSpaceDE w:val="0"/>
        <w:autoSpaceDN w:val="0"/>
        <w:adjustRightInd w:val="0"/>
        <w:spacing w:after="0" w:line="240" w:lineRule="auto"/>
      </w:pPr>
    </w:p>
    <w:p w:rsidR="00D0452B" w:rsidRPr="009E29D4" w:rsidRDefault="00D0452B" w:rsidP="00644C2E">
      <w:pPr>
        <w:autoSpaceDE w:val="0"/>
        <w:autoSpaceDN w:val="0"/>
        <w:adjustRightInd w:val="0"/>
        <w:spacing w:after="0" w:line="240" w:lineRule="auto"/>
        <w:rPr>
          <w:rFonts w:cs="Shaker2Lancet-Bold"/>
          <w:b/>
          <w:bCs/>
        </w:rPr>
      </w:pPr>
    </w:p>
    <w:p w:rsidR="00EC6401" w:rsidRDefault="00EC6401" w:rsidP="00644C2E">
      <w:pPr>
        <w:spacing w:after="0"/>
        <w:rPr>
          <w:b/>
        </w:rPr>
      </w:pPr>
    </w:p>
    <w:p w:rsidR="00A6324A" w:rsidRDefault="00A6324A" w:rsidP="00644C2E">
      <w:pPr>
        <w:spacing w:after="0"/>
        <w:rPr>
          <w:b/>
        </w:rPr>
      </w:pPr>
      <w:r w:rsidRPr="00A6324A">
        <w:rPr>
          <w:b/>
          <w:u w:val="single"/>
        </w:rPr>
        <w:lastRenderedPageBreak/>
        <w:t xml:space="preserve">Haut Conseil de la santé Publique : </w:t>
      </w:r>
      <w:r w:rsidRPr="00A6324A">
        <w:rPr>
          <w:b/>
          <w:i/>
          <w:u w:val="single"/>
        </w:rPr>
        <w:t>groupe de travail</w:t>
      </w:r>
      <w:r>
        <w:rPr>
          <w:b/>
        </w:rPr>
        <w:t> : COVID</w:t>
      </w:r>
      <w:r w:rsidR="00CA062C">
        <w:rPr>
          <w:b/>
        </w:rPr>
        <w:t>-</w:t>
      </w:r>
      <w:r>
        <w:rPr>
          <w:b/>
        </w:rPr>
        <w:t>19 et Cancers solides : recommandations </w:t>
      </w:r>
      <w:r w:rsidR="00CA062C">
        <w:rPr>
          <w:b/>
        </w:rPr>
        <w:t xml:space="preserve"> </w:t>
      </w:r>
      <w:r>
        <w:rPr>
          <w:b/>
        </w:rPr>
        <w:t>(</w:t>
      </w:r>
      <w:r w:rsidR="00BF046E">
        <w:rPr>
          <w:b/>
        </w:rPr>
        <w:t xml:space="preserve">20 </w:t>
      </w:r>
      <w:r>
        <w:rPr>
          <w:b/>
        </w:rPr>
        <w:t xml:space="preserve">mars 2020) </w:t>
      </w:r>
    </w:p>
    <w:p w:rsidR="00644C2E" w:rsidRDefault="00644C2E" w:rsidP="00644C2E">
      <w:pPr>
        <w:spacing w:after="0"/>
        <w:rPr>
          <w:b/>
        </w:rPr>
      </w:pPr>
    </w:p>
    <w:p w:rsidR="00CA062C" w:rsidRDefault="00BF4E91" w:rsidP="00644C2E">
      <w:pPr>
        <w:spacing w:after="0"/>
      </w:pPr>
      <w:r w:rsidRPr="00BF4E91">
        <w:t>Un groupe de</w:t>
      </w:r>
      <w:r>
        <w:t xml:space="preserve"> travail, présidé par le Pr You, propose un certain nombre de recommandations pour la gestion des patients atteints de cancer, au sein de la crise sanitaire actuelle. </w:t>
      </w:r>
    </w:p>
    <w:p w:rsidR="00BF046E" w:rsidRDefault="00BF046E" w:rsidP="00644C2E">
      <w:pPr>
        <w:spacing w:after="0"/>
      </w:pPr>
      <w:r>
        <w:t xml:space="preserve">Les messages clés sont les suivants : </w:t>
      </w:r>
    </w:p>
    <w:p w:rsidR="00BF046E" w:rsidRDefault="00644C2E" w:rsidP="00644C2E">
      <w:pPr>
        <w:spacing w:after="0"/>
      </w:pPr>
      <w:r>
        <w:t>Les p</w:t>
      </w:r>
      <w:r w:rsidR="00BF046E">
        <w:t>atients atteints de cancers semblent</w:t>
      </w:r>
      <w:r>
        <w:t xml:space="preserve"> à risque beaucoup plus élevés (4 à 5 fois) de compl</w:t>
      </w:r>
      <w:r w:rsidR="00BF046E">
        <w:t xml:space="preserve">ications respiratoires sévères. </w:t>
      </w:r>
    </w:p>
    <w:p w:rsidR="00BF046E" w:rsidRDefault="00BF046E" w:rsidP="00644C2E">
      <w:pPr>
        <w:spacing w:after="0"/>
      </w:pPr>
      <w:r>
        <w:t xml:space="preserve">Majoration du risque si </w:t>
      </w:r>
      <w:r w:rsidR="00644C2E">
        <w:t>chirurgie ou une chimiothérapie dans les semaines qui précède</w:t>
      </w:r>
      <w:r>
        <w:t xml:space="preserve">nt. </w:t>
      </w:r>
    </w:p>
    <w:p w:rsidR="00BF046E" w:rsidRDefault="00BF046E" w:rsidP="00644C2E">
      <w:pPr>
        <w:spacing w:after="0"/>
      </w:pPr>
      <w:r>
        <w:t>Il est proposé :</w:t>
      </w:r>
    </w:p>
    <w:p w:rsidR="00BF046E" w:rsidRDefault="00BF046E" w:rsidP="00BF046E">
      <w:pPr>
        <w:pStyle w:val="Paragraphedeliste"/>
        <w:numPr>
          <w:ilvl w:val="0"/>
          <w:numId w:val="7"/>
        </w:numPr>
        <w:spacing w:after="0"/>
      </w:pPr>
      <w:r>
        <w:t xml:space="preserve">De </w:t>
      </w:r>
      <w:r w:rsidR="00644C2E">
        <w:t>prioriser les prises en charge (hospitalière si nécessaire) d</w:t>
      </w:r>
      <w:r>
        <w:t>es patients atteints de cancers :</w:t>
      </w:r>
    </w:p>
    <w:p w:rsidR="00BF046E" w:rsidRDefault="00BF046E" w:rsidP="00BF046E">
      <w:pPr>
        <w:spacing w:after="0"/>
        <w:ind w:left="360"/>
      </w:pPr>
      <w:r>
        <w:t>Priorisation des patients en traitement</w:t>
      </w:r>
      <w:r w:rsidR="00644C2E">
        <w:t xml:space="preserve"> curatif selon les recommandations classiques, puis les prises en charge non-curatives en début de traitement (1ère ligne) ou chez les patients jeunes &lt; 60 ans et/ou dont l’espérance de vie est supérieure à 5 ans. </w:t>
      </w:r>
    </w:p>
    <w:p w:rsidR="00BF046E" w:rsidRDefault="00BF046E" w:rsidP="00BF046E">
      <w:pPr>
        <w:pStyle w:val="Paragraphedeliste"/>
        <w:numPr>
          <w:ilvl w:val="0"/>
          <w:numId w:val="7"/>
        </w:numPr>
        <w:spacing w:after="0"/>
      </w:pPr>
      <w:r>
        <w:t xml:space="preserve">De privilégier </w:t>
      </w:r>
      <w:r w:rsidR="00644C2E">
        <w:t xml:space="preserve"> </w:t>
      </w:r>
      <w:r>
        <w:t xml:space="preserve">les </w:t>
      </w:r>
      <w:r w:rsidR="00644C2E">
        <w:t xml:space="preserve"> traitements oraux, les administrations à domicile, voire les pauses thérapeutiques chez les patients en traitement non-curatif </w:t>
      </w:r>
    </w:p>
    <w:p w:rsidR="00BF046E" w:rsidRDefault="00BF046E" w:rsidP="00BF046E">
      <w:pPr>
        <w:pStyle w:val="Paragraphedeliste"/>
        <w:numPr>
          <w:ilvl w:val="0"/>
          <w:numId w:val="7"/>
        </w:numPr>
        <w:spacing w:after="0"/>
      </w:pPr>
      <w:r>
        <w:t>D’interrompre l</w:t>
      </w:r>
      <w:r w:rsidR="00644C2E">
        <w:t>e traitement anti-cancéreux en cas d’infection à COVD-19 (sauf exception)</w:t>
      </w:r>
    </w:p>
    <w:p w:rsidR="00644C2E" w:rsidRDefault="00BF046E" w:rsidP="00644C2E">
      <w:pPr>
        <w:pStyle w:val="Paragraphedeliste"/>
        <w:numPr>
          <w:ilvl w:val="0"/>
          <w:numId w:val="7"/>
        </w:numPr>
        <w:spacing w:after="0"/>
      </w:pPr>
      <w:r>
        <w:t>De sanctuariser l</w:t>
      </w:r>
      <w:r w:rsidR="00644C2E">
        <w:t>es services d’oncologie et de radiothérapie</w:t>
      </w:r>
      <w:r>
        <w:t> : pas de</w:t>
      </w:r>
      <w:r w:rsidR="00644C2E">
        <w:t xml:space="preserve"> patient infecté pour limiter au maximum la contamination aux patients atteints de cancer </w:t>
      </w:r>
      <w:proofErr w:type="spellStart"/>
      <w:r w:rsidR="00644C2E">
        <w:t>immuno-déprimés</w:t>
      </w:r>
      <w:proofErr w:type="spellEnd"/>
      <w:r w:rsidR="00644C2E">
        <w:t>.</w:t>
      </w:r>
    </w:p>
    <w:p w:rsidR="000507D9" w:rsidRDefault="000507D9" w:rsidP="000507D9">
      <w:pPr>
        <w:spacing w:after="0"/>
      </w:pPr>
    </w:p>
    <w:p w:rsidR="000507D9" w:rsidRDefault="000507D9" w:rsidP="000507D9">
      <w:pPr>
        <w:spacing w:after="0"/>
      </w:pPr>
    </w:p>
    <w:p w:rsidR="00CA062C" w:rsidRDefault="00CA062C" w:rsidP="00644C2E">
      <w:pPr>
        <w:spacing w:after="0"/>
        <w:rPr>
          <w:b/>
        </w:rPr>
      </w:pPr>
      <w:r w:rsidRPr="00CA062C">
        <w:rPr>
          <w:b/>
          <w:u w:val="single"/>
        </w:rPr>
        <w:t xml:space="preserve">Thesaurus National de </w:t>
      </w:r>
      <w:proofErr w:type="spellStart"/>
      <w:r w:rsidRPr="00CA062C">
        <w:rPr>
          <w:b/>
          <w:u w:val="single"/>
        </w:rPr>
        <w:t>Cancerologie</w:t>
      </w:r>
      <w:proofErr w:type="spellEnd"/>
      <w:r w:rsidRPr="00CA062C">
        <w:rPr>
          <w:b/>
          <w:u w:val="single"/>
        </w:rPr>
        <w:t xml:space="preserve"> digestive : </w:t>
      </w:r>
      <w:r w:rsidRPr="00CA062C">
        <w:rPr>
          <w:b/>
        </w:rPr>
        <w:t>Prise en charge des cancers digestifs en fonction de la situation épidémique au COVID-19</w:t>
      </w:r>
      <w:r>
        <w:rPr>
          <w:b/>
        </w:rPr>
        <w:t xml:space="preserve"> (</w:t>
      </w:r>
      <w:r w:rsidR="00BF046E">
        <w:rPr>
          <w:b/>
        </w:rPr>
        <w:t xml:space="preserve">18 </w:t>
      </w:r>
      <w:r>
        <w:rPr>
          <w:b/>
        </w:rPr>
        <w:t xml:space="preserve">mars 2020) </w:t>
      </w:r>
    </w:p>
    <w:p w:rsidR="00644C2E" w:rsidRDefault="00644C2E" w:rsidP="00644C2E">
      <w:pPr>
        <w:spacing w:after="0"/>
        <w:rPr>
          <w:b/>
        </w:rPr>
      </w:pPr>
    </w:p>
    <w:p w:rsidR="002F1FAA" w:rsidRDefault="002F1FAA" w:rsidP="00644C2E">
      <w:pPr>
        <w:spacing w:after="0"/>
      </w:pPr>
      <w:r>
        <w:t xml:space="preserve">Les données (faibles à ce jour) concernant le COVID-19 chez les patients atteints de cancer sont récapitulées ainsi que les essais en cours (1 seul cité) </w:t>
      </w:r>
    </w:p>
    <w:p w:rsidR="00644C2E" w:rsidRDefault="002F1FAA" w:rsidP="00644C2E">
      <w:pPr>
        <w:spacing w:after="0"/>
      </w:pPr>
      <w:r>
        <w:t xml:space="preserve">Des propositions sont faites quant à la gestion des cancers durant l’épidémie actuelle, primitif par primitif et modalité de traitement par modalité de traitement. </w:t>
      </w:r>
    </w:p>
    <w:p w:rsidR="002F1FAA" w:rsidRDefault="002F1FAA" w:rsidP="00644C2E">
      <w:pPr>
        <w:spacing w:after="0"/>
      </w:pPr>
      <w:r>
        <w:t xml:space="preserve">Niveau de preuve : avis d’experts. </w:t>
      </w:r>
    </w:p>
    <w:p w:rsidR="002F1FAA" w:rsidRDefault="002F1FAA" w:rsidP="00644C2E">
      <w:pPr>
        <w:spacing w:after="0"/>
      </w:pPr>
      <w:r>
        <w:t>Globalement, discuter le report des traitements chirurgicaux,  privilégier les traitements courts, privilégier les chimiothérapies d’attente</w:t>
      </w:r>
      <w:r w:rsidR="00644C2E">
        <w:t xml:space="preserve">, privilégier les traitements oraux. </w:t>
      </w:r>
    </w:p>
    <w:p w:rsidR="00644C2E" w:rsidRDefault="00644C2E" w:rsidP="00644C2E">
      <w:pPr>
        <w:spacing w:after="0"/>
      </w:pPr>
      <w:r>
        <w:t xml:space="preserve">L’attitude reste relativement proactive, avec, par exemple, un maintien des chimiothérapies chez les patients avec une maladie métastatique dans la plupart des situations. </w:t>
      </w:r>
    </w:p>
    <w:p w:rsidR="00644C2E" w:rsidRDefault="002F1FAA" w:rsidP="00644C2E">
      <w:pPr>
        <w:spacing w:after="0"/>
      </w:pPr>
      <w:r>
        <w:t>Il est également précisé des propositions concern</w:t>
      </w:r>
      <w:r w:rsidR="00644C2E">
        <w:t xml:space="preserve">ant les endoscopies digestives. </w:t>
      </w:r>
    </w:p>
    <w:p w:rsidR="00644C2E" w:rsidRDefault="00644C2E" w:rsidP="00644C2E">
      <w:pPr>
        <w:spacing w:after="0"/>
      </w:pPr>
      <w:r>
        <w:t xml:space="preserve">Il est dressé une liste de geste endoscopiques considérés comme urgents ou à perte de chance si non réalisés. </w:t>
      </w:r>
    </w:p>
    <w:p w:rsidR="00644C2E" w:rsidRDefault="00644C2E" w:rsidP="00644C2E">
      <w:pPr>
        <w:spacing w:after="0"/>
        <w:rPr>
          <w:shd w:val="clear" w:color="auto" w:fill="FEFEFE"/>
        </w:rPr>
      </w:pPr>
      <w:r>
        <w:t xml:space="preserve">Le message est : </w:t>
      </w:r>
      <w:r w:rsidRPr="00644C2E">
        <w:rPr>
          <w:shd w:val="clear" w:color="auto" w:fill="FEFEFE"/>
        </w:rPr>
        <w:t>toute endoscopie qui peut être repoussée de quelques semaines doit l'être dans l'intérêt du patient.</w:t>
      </w:r>
    </w:p>
    <w:p w:rsidR="00644C2E" w:rsidRDefault="00644C2E" w:rsidP="00644C2E">
      <w:pPr>
        <w:spacing w:after="0"/>
      </w:pPr>
      <w:r>
        <w:rPr>
          <w:shd w:val="clear" w:color="auto" w:fill="FEFEFE"/>
        </w:rPr>
        <w:t xml:space="preserve">Enfin, concernant la surveillance : report des consultations et des examens d’imagerie à après la période d’épidémie. </w:t>
      </w:r>
    </w:p>
    <w:p w:rsidR="002F1FAA" w:rsidRPr="002F1FAA" w:rsidRDefault="002F1FAA" w:rsidP="00644C2E">
      <w:pPr>
        <w:spacing w:after="0"/>
      </w:pPr>
    </w:p>
    <w:p w:rsidR="002F1FAA" w:rsidRDefault="002F1FAA" w:rsidP="00644C2E">
      <w:pPr>
        <w:spacing w:after="0"/>
        <w:rPr>
          <w:rStyle w:val="Lienhypertexte"/>
        </w:rPr>
      </w:pPr>
      <w:r>
        <w:t xml:space="preserve">Vous trouverez l’article sur le site du TNCD : </w:t>
      </w:r>
      <w:hyperlink r:id="rId10" w:history="1">
        <w:r>
          <w:rPr>
            <w:rStyle w:val="Lienhypertexte"/>
          </w:rPr>
          <w:t>https://www.snfge.org/tncd</w:t>
        </w:r>
      </w:hyperlink>
    </w:p>
    <w:p w:rsidR="008C1247" w:rsidRDefault="008C1247" w:rsidP="00644C2E">
      <w:pPr>
        <w:spacing w:after="0"/>
        <w:rPr>
          <w:rStyle w:val="Lienhypertexte"/>
        </w:rPr>
      </w:pPr>
    </w:p>
    <w:p w:rsidR="00384597" w:rsidRDefault="00384597" w:rsidP="00644C2E">
      <w:pPr>
        <w:spacing w:after="0"/>
      </w:pPr>
    </w:p>
    <w:p w:rsidR="00141BDD" w:rsidRDefault="00141BDD" w:rsidP="00644C2E">
      <w:pPr>
        <w:spacing w:after="0"/>
      </w:pPr>
    </w:p>
    <w:p w:rsidR="00141BDD" w:rsidRPr="00141BDD" w:rsidRDefault="00141BDD" w:rsidP="00644C2E">
      <w:pPr>
        <w:spacing w:after="0"/>
        <w:rPr>
          <w:b/>
        </w:rPr>
      </w:pPr>
      <w:r w:rsidRPr="00141BDD">
        <w:rPr>
          <w:b/>
        </w:rPr>
        <w:lastRenderedPageBreak/>
        <w:t xml:space="preserve">GETUG : recommandations durant l’épidémie de coronavirus : </w:t>
      </w:r>
    </w:p>
    <w:p w:rsidR="00141BDD" w:rsidRDefault="00141BDD" w:rsidP="00644C2E">
      <w:pPr>
        <w:spacing w:after="0"/>
      </w:pPr>
    </w:p>
    <w:p w:rsidR="00141BDD" w:rsidRDefault="00141BDD" w:rsidP="00141BDD">
      <w:r>
        <w:t>Résumé GETUG : ne pas lésiner sur GCSF !!</w:t>
      </w:r>
    </w:p>
    <w:p w:rsidR="00141BDD" w:rsidRDefault="00141BDD" w:rsidP="00141BDD">
      <w:pPr>
        <w:pStyle w:val="Paragraphedeliste"/>
        <w:numPr>
          <w:ilvl w:val="0"/>
          <w:numId w:val="8"/>
        </w:numPr>
      </w:pPr>
      <w:r>
        <w:t>Testicule : ne pas différer l’</w:t>
      </w:r>
      <w:proofErr w:type="spellStart"/>
      <w:r>
        <w:t>orchidectomie</w:t>
      </w:r>
      <w:proofErr w:type="spellEnd"/>
      <w:r>
        <w:t xml:space="preserve">, pas de chimiothérapie adjuvante, éviter </w:t>
      </w:r>
      <w:proofErr w:type="spellStart"/>
      <w:r>
        <w:t>Bléomycine</w:t>
      </w:r>
      <w:proofErr w:type="spellEnd"/>
      <w:r>
        <w:t xml:space="preserve"> à remplacer par </w:t>
      </w:r>
      <w:proofErr w:type="spellStart"/>
      <w:r>
        <w:t>Ifosfamide</w:t>
      </w:r>
      <w:proofErr w:type="spellEnd"/>
      <w:r>
        <w:t xml:space="preserve"> (VIP, nombres de </w:t>
      </w:r>
      <w:proofErr w:type="spellStart"/>
      <w:r>
        <w:t>cyles</w:t>
      </w:r>
      <w:proofErr w:type="spellEnd"/>
      <w:r>
        <w:t xml:space="preserve"> fonction du pronostic), protocole SEMITEP pour séminome stade II, radiothérapie pour les séminomes IIA. Pour les rattrapages, éviter autogreffes sinon sérologies </w:t>
      </w:r>
      <w:proofErr w:type="spellStart"/>
      <w:r>
        <w:t>Covid</w:t>
      </w:r>
      <w:proofErr w:type="spellEnd"/>
      <w:r>
        <w:t xml:space="preserve"> avant intensification</w:t>
      </w:r>
    </w:p>
    <w:p w:rsidR="00141BDD" w:rsidRDefault="00141BDD" w:rsidP="00141BDD">
      <w:pPr>
        <w:pStyle w:val="Paragraphedeliste"/>
        <w:numPr>
          <w:ilvl w:val="0"/>
          <w:numId w:val="8"/>
        </w:numPr>
      </w:pPr>
      <w:r>
        <w:t xml:space="preserve">Prostate : surveillance active à privilégier, différer les traitements radicaux ou radiothérapie par de l’hormonothérapie néo-adjuvante 3 à 6 mois. Pour les formes métastatiques, préférer les hormonothérapies de nouvelle génération, si chimiothérapie nécessaire limiter les corticoïdes associés.  </w:t>
      </w:r>
      <w:proofErr w:type="spellStart"/>
      <w:r>
        <w:t>Oligométa</w:t>
      </w:r>
      <w:proofErr w:type="spellEnd"/>
      <w:r>
        <w:t xml:space="preserve"> : différer radiothérapie ou schéma </w:t>
      </w:r>
      <w:proofErr w:type="spellStart"/>
      <w:r>
        <w:t>hypofractionné</w:t>
      </w:r>
      <w:proofErr w:type="spellEnd"/>
      <w:r>
        <w:t xml:space="preserve"> de préférence</w:t>
      </w:r>
    </w:p>
    <w:p w:rsidR="00141BDD" w:rsidRDefault="00141BDD" w:rsidP="00141BDD">
      <w:pPr>
        <w:pStyle w:val="Paragraphedeliste"/>
        <w:numPr>
          <w:ilvl w:val="0"/>
          <w:numId w:val="8"/>
        </w:numPr>
      </w:pPr>
      <w:r>
        <w:t>TVIM : ne pas différer cystectomie si possible, si chimiothérapie (néo-</w:t>
      </w:r>
      <w:proofErr w:type="spellStart"/>
      <w:r>
        <w:t>adj</w:t>
      </w:r>
      <w:proofErr w:type="spellEnd"/>
      <w:r>
        <w:t>/1</w:t>
      </w:r>
      <w:r w:rsidRPr="00F636C2">
        <w:rPr>
          <w:vertAlign w:val="superscript"/>
        </w:rPr>
        <w:t>ère</w:t>
      </w:r>
      <w:r>
        <w:t xml:space="preserve"> ligne) préférer </w:t>
      </w:r>
      <w:proofErr w:type="spellStart"/>
      <w:r>
        <w:t>Cisplatine-Gemcitabine</w:t>
      </w:r>
      <w:proofErr w:type="spellEnd"/>
      <w:r>
        <w:t xml:space="preserve"> plutôt que MVAC, pas de données sur immunothérapie durant la pandémie, si possible différer </w:t>
      </w:r>
      <w:proofErr w:type="gramStart"/>
      <w:r>
        <w:t>les traitement</w:t>
      </w:r>
      <w:proofErr w:type="gramEnd"/>
      <w:r>
        <w:t>…</w:t>
      </w:r>
    </w:p>
    <w:p w:rsidR="00141BDD" w:rsidRPr="00F636C2" w:rsidRDefault="00141BDD" w:rsidP="00141BDD">
      <w:pPr>
        <w:pStyle w:val="Paragraphedeliste"/>
        <w:numPr>
          <w:ilvl w:val="0"/>
          <w:numId w:val="8"/>
        </w:numPr>
      </w:pPr>
      <w:r>
        <w:t>Rein : TKI le plus possible</w:t>
      </w:r>
    </w:p>
    <w:p w:rsidR="00141BDD" w:rsidRDefault="00141BDD" w:rsidP="00644C2E">
      <w:pPr>
        <w:spacing w:after="0"/>
      </w:pPr>
    </w:p>
    <w:p w:rsidR="00BF046E" w:rsidRPr="008C1247" w:rsidRDefault="00BF046E" w:rsidP="00644C2E">
      <w:pPr>
        <w:spacing w:after="0"/>
        <w:rPr>
          <w:i/>
        </w:rPr>
      </w:pPr>
      <w:bookmarkStart w:id="0" w:name="_GoBack"/>
      <w:bookmarkEnd w:id="0"/>
      <w:r w:rsidRPr="008C1247">
        <w:rPr>
          <w:i/>
        </w:rPr>
        <w:t xml:space="preserve">De nombreux autres articles de recommandations sont disponibles, chaque centre ayant créé des règles selon l’état de l’épidémie dans sa région et adaptées à ses habitudes de fonctionnement. </w:t>
      </w:r>
    </w:p>
    <w:p w:rsidR="00BF046E" w:rsidRPr="008C1247" w:rsidRDefault="00BF046E" w:rsidP="00644C2E">
      <w:pPr>
        <w:spacing w:after="0"/>
        <w:rPr>
          <w:i/>
        </w:rPr>
      </w:pPr>
      <w:r w:rsidRPr="008C1247">
        <w:rPr>
          <w:i/>
        </w:rPr>
        <w:t xml:space="preserve">Elles sont disponibles sur le site de chaque hôpital ou institution. </w:t>
      </w:r>
    </w:p>
    <w:p w:rsidR="00BF046E" w:rsidRDefault="00BF046E" w:rsidP="00644C2E">
      <w:pPr>
        <w:spacing w:after="0"/>
      </w:pPr>
    </w:p>
    <w:p w:rsidR="00EC6401" w:rsidRDefault="00EC6401" w:rsidP="00644C2E">
      <w:pPr>
        <w:spacing w:after="0"/>
        <w:rPr>
          <w:b/>
        </w:rPr>
      </w:pPr>
    </w:p>
    <w:p w:rsidR="00EC6401" w:rsidRDefault="00EC6401" w:rsidP="00644C2E">
      <w:pPr>
        <w:spacing w:after="0"/>
        <w:rPr>
          <w:b/>
          <w:u w:val="single"/>
        </w:rPr>
      </w:pPr>
      <w:r w:rsidRPr="00EC6401">
        <w:rPr>
          <w:b/>
          <w:u w:val="single"/>
        </w:rPr>
        <w:t xml:space="preserve">3) Rappels des outils à disposition des internes : </w:t>
      </w:r>
    </w:p>
    <w:p w:rsidR="000507D9" w:rsidRPr="00EC6401" w:rsidRDefault="000507D9" w:rsidP="00644C2E">
      <w:pPr>
        <w:spacing w:after="0"/>
        <w:rPr>
          <w:b/>
          <w:u w:val="single"/>
        </w:rPr>
      </w:pPr>
    </w:p>
    <w:p w:rsidR="00B55EB3" w:rsidRDefault="00EC6401" w:rsidP="00644C2E">
      <w:pPr>
        <w:autoSpaceDE w:val="0"/>
        <w:autoSpaceDN w:val="0"/>
        <w:adjustRightInd w:val="0"/>
        <w:spacing w:after="0" w:line="240" w:lineRule="auto"/>
        <w:rPr>
          <w:rFonts w:cs="Shaker2Lancet-Bold"/>
          <w:bCs/>
        </w:rPr>
      </w:pPr>
      <w:r w:rsidRPr="00EC6401">
        <w:rPr>
          <w:rFonts w:cs="Shaker2Lancet-Bold"/>
          <w:bCs/>
        </w:rPr>
        <w:t>Un certain nombre d’outils sont mis à disposition des interne</w:t>
      </w:r>
      <w:r>
        <w:rPr>
          <w:rFonts w:cs="Shaker2Lancet-Bold"/>
          <w:bCs/>
        </w:rPr>
        <w:t>s</w:t>
      </w:r>
      <w:r w:rsidRPr="00EC6401">
        <w:rPr>
          <w:rFonts w:cs="Shaker2Lancet-Bold"/>
          <w:bCs/>
        </w:rPr>
        <w:t xml:space="preserve">, </w:t>
      </w:r>
      <w:r>
        <w:rPr>
          <w:rFonts w:cs="Shaker2Lancet-Bold"/>
          <w:bCs/>
        </w:rPr>
        <w:t xml:space="preserve"> </w:t>
      </w:r>
      <w:r w:rsidRPr="00EC6401">
        <w:rPr>
          <w:rFonts w:cs="Shaker2Lancet-Bold"/>
          <w:bCs/>
        </w:rPr>
        <w:t xml:space="preserve">pour s’informer et pour trouver les soutiens nécessaires. </w:t>
      </w:r>
    </w:p>
    <w:p w:rsidR="00EC6401" w:rsidRDefault="000507D9" w:rsidP="000507D9">
      <w:pPr>
        <w:autoSpaceDE w:val="0"/>
        <w:autoSpaceDN w:val="0"/>
        <w:adjustRightInd w:val="0"/>
        <w:spacing w:after="0" w:line="240" w:lineRule="auto"/>
      </w:pPr>
      <w:r w:rsidRPr="000507D9">
        <w:rPr>
          <w:rFonts w:cs="Shaker2Lancet-Bold"/>
          <w:bCs/>
        </w:rPr>
        <w:t>-</w:t>
      </w:r>
      <w:r>
        <w:rPr>
          <w:rFonts w:cs="Shaker2Lancet-Bold"/>
          <w:bCs/>
        </w:rPr>
        <w:t xml:space="preserve">  </w:t>
      </w:r>
      <w:r w:rsidR="00EC6401" w:rsidRPr="000507D9">
        <w:rPr>
          <w:rFonts w:cs="Shaker2Lancet-Bold"/>
          <w:bCs/>
        </w:rPr>
        <w:t xml:space="preserve">La plupart des ressources sont rassemblées sur la </w:t>
      </w:r>
      <w:hyperlink r:id="rId11" w:history="1">
        <w:r w:rsidR="00EC6401" w:rsidRPr="000507D9">
          <w:rPr>
            <w:rStyle w:val="Lienhypertexte"/>
            <w:b/>
          </w:rPr>
          <w:t>plat</w:t>
        </w:r>
        <w:r w:rsidR="00EC6401" w:rsidRPr="000507D9">
          <w:rPr>
            <w:rStyle w:val="Lienhypertexte"/>
            <w:b/>
          </w:rPr>
          <w:t>e</w:t>
        </w:r>
        <w:r w:rsidR="00EC6401" w:rsidRPr="000507D9">
          <w:rPr>
            <w:rStyle w:val="Lienhypertexte"/>
            <w:b/>
          </w:rPr>
          <w:t>forme d’information</w:t>
        </w:r>
        <w:r w:rsidR="00EC6401" w:rsidRPr="00EC6401">
          <w:rPr>
            <w:rStyle w:val="Lienhypertexte"/>
          </w:rPr>
          <w:t> </w:t>
        </w:r>
      </w:hyperlink>
      <w:r w:rsidR="008E2906">
        <w:t xml:space="preserve">mise en place par </w:t>
      </w:r>
      <w:proofErr w:type="gramStart"/>
      <w:r w:rsidR="008E2906">
        <w:t>le</w:t>
      </w:r>
      <w:r w:rsidR="00EC6401">
        <w:t xml:space="preserve"> syndicats</w:t>
      </w:r>
      <w:proofErr w:type="gramEnd"/>
      <w:r w:rsidR="00EC6401">
        <w:t xml:space="preserve"> des internes et des jeunes médecins. </w:t>
      </w:r>
    </w:p>
    <w:p w:rsidR="001A7757" w:rsidRPr="000507D9" w:rsidRDefault="001A7757" w:rsidP="000507D9">
      <w:pPr>
        <w:autoSpaceDE w:val="0"/>
        <w:autoSpaceDN w:val="0"/>
        <w:adjustRightInd w:val="0"/>
        <w:spacing w:after="0" w:line="240" w:lineRule="auto"/>
        <w:rPr>
          <w:rFonts w:cs="Shaker2Lancet-Bold"/>
          <w:bCs/>
        </w:rPr>
      </w:pPr>
      <w:r>
        <w:t>(</w:t>
      </w:r>
      <w:hyperlink r:id="rId12" w:history="1">
        <w:r>
          <w:rPr>
            <w:rStyle w:val="Lienhypertexte"/>
          </w:rPr>
          <w:t>https://www.notion.so/InfoCOVID19-2fa73a38b7944cdc9441266d137e8868</w:t>
        </w:r>
      </w:hyperlink>
      <w:r>
        <w:t>)</w:t>
      </w:r>
    </w:p>
    <w:p w:rsidR="00EC6401" w:rsidRDefault="00EC6401" w:rsidP="00644C2E">
      <w:pPr>
        <w:autoSpaceDE w:val="0"/>
        <w:autoSpaceDN w:val="0"/>
        <w:adjustRightInd w:val="0"/>
        <w:spacing w:after="0" w:line="240" w:lineRule="auto"/>
        <w:rPr>
          <w:rStyle w:val="Lienhypertexte"/>
          <w:b/>
        </w:rPr>
      </w:pPr>
      <w:r>
        <w:t xml:space="preserve">On y trouve notamment une fiche résumée, spéciale internes : pour y accéder c’est juste </w:t>
      </w:r>
      <w:hyperlink r:id="rId13" w:history="1">
        <w:r w:rsidRPr="00EC6401">
          <w:rPr>
            <w:rStyle w:val="Lienhypertexte"/>
            <w:b/>
          </w:rPr>
          <w:t>ici</w:t>
        </w:r>
      </w:hyperlink>
    </w:p>
    <w:p w:rsidR="00B55EB3" w:rsidRPr="009E29D4" w:rsidRDefault="00B55EB3" w:rsidP="00644C2E">
      <w:pPr>
        <w:autoSpaceDE w:val="0"/>
        <w:autoSpaceDN w:val="0"/>
        <w:adjustRightInd w:val="0"/>
        <w:spacing w:after="0" w:line="240" w:lineRule="auto"/>
        <w:rPr>
          <w:rFonts w:cs="Shaker2Lancet-Bold"/>
          <w:b/>
          <w:bCs/>
        </w:rPr>
      </w:pPr>
    </w:p>
    <w:p w:rsidR="00B55EB3" w:rsidRDefault="000507D9" w:rsidP="000507D9">
      <w:pPr>
        <w:autoSpaceDE w:val="0"/>
        <w:autoSpaceDN w:val="0"/>
        <w:adjustRightInd w:val="0"/>
        <w:spacing w:after="0" w:line="240" w:lineRule="auto"/>
        <w:rPr>
          <w:rFonts w:cs="Shaker2Lancet-Bold"/>
          <w:b/>
          <w:bCs/>
        </w:rPr>
      </w:pPr>
      <w:r w:rsidRPr="000507D9">
        <w:rPr>
          <w:rFonts w:cs="Shaker2Lancet-Bold"/>
          <w:bCs/>
        </w:rPr>
        <w:t>-</w:t>
      </w:r>
      <w:r>
        <w:rPr>
          <w:rFonts w:cs="Shaker2Lancet-Bold"/>
          <w:bCs/>
        </w:rPr>
        <w:t xml:space="preserve"> </w:t>
      </w:r>
      <w:r w:rsidR="00EC6401" w:rsidRPr="000507D9">
        <w:rPr>
          <w:rFonts w:cs="Shaker2Lancet-Bold"/>
          <w:bCs/>
        </w:rPr>
        <w:t>Un certain nombre de décisions ont été prises par les instances pour organiser le rôle des internes durant cette crise sanitaire. Elles sont</w:t>
      </w:r>
      <w:r w:rsidR="00EC6401" w:rsidRPr="000507D9">
        <w:rPr>
          <w:rFonts w:cs="Shaker2Lancet-Bold"/>
          <w:b/>
          <w:bCs/>
        </w:rPr>
        <w:t xml:space="preserve"> </w:t>
      </w:r>
      <w:hyperlink r:id="rId14" w:history="1">
        <w:r w:rsidR="00EC6401" w:rsidRPr="000507D9">
          <w:rPr>
            <w:rStyle w:val="Lienhypertexte"/>
            <w:rFonts w:cs="Shaker2Lancet-Bold"/>
            <w:b/>
            <w:bCs/>
          </w:rPr>
          <w:t>récapitulé</w:t>
        </w:r>
        <w:r w:rsidR="00EC6401" w:rsidRPr="000507D9">
          <w:rPr>
            <w:rStyle w:val="Lienhypertexte"/>
            <w:rFonts w:cs="Shaker2Lancet-Bold"/>
            <w:b/>
            <w:bCs/>
          </w:rPr>
          <w:t>e</w:t>
        </w:r>
        <w:r w:rsidR="00EC6401" w:rsidRPr="000507D9">
          <w:rPr>
            <w:rStyle w:val="Lienhypertexte"/>
            <w:rFonts w:cs="Shaker2Lancet-Bold"/>
            <w:b/>
            <w:bCs/>
          </w:rPr>
          <w:t>s par l’ISNI sur leur site</w:t>
        </w:r>
      </w:hyperlink>
      <w:r w:rsidR="00EC6401" w:rsidRPr="000507D9">
        <w:rPr>
          <w:rFonts w:cs="Shaker2Lancet-Bold"/>
          <w:b/>
          <w:bCs/>
        </w:rPr>
        <w:t xml:space="preserve"> </w:t>
      </w:r>
    </w:p>
    <w:p w:rsidR="001A7757" w:rsidRPr="000507D9" w:rsidRDefault="001A7757" w:rsidP="000507D9">
      <w:pPr>
        <w:autoSpaceDE w:val="0"/>
        <w:autoSpaceDN w:val="0"/>
        <w:adjustRightInd w:val="0"/>
        <w:spacing w:after="0" w:line="240" w:lineRule="auto"/>
        <w:rPr>
          <w:rFonts w:cs="Shaker2Lancet-Bold"/>
          <w:b/>
          <w:bCs/>
        </w:rPr>
      </w:pPr>
      <w:r>
        <w:rPr>
          <w:rFonts w:cs="Shaker2Lancet-Bold"/>
          <w:b/>
          <w:bCs/>
        </w:rPr>
        <w:t>(</w:t>
      </w:r>
      <w:hyperlink r:id="rId15" w:history="1">
        <w:r>
          <w:rPr>
            <w:rStyle w:val="Lienhypertexte"/>
          </w:rPr>
          <w:t>https://isni.fr/disposition-relatives-aux-internes-covid-19-instruction-ministerielle/?fbclid=IwAR0NhIjZR5Mm_CJ9vUFSXy-RWxBiJH7fJFITGpRd7VyXCIQ2LBTqf1B8O2Y</w:t>
        </w:r>
      </w:hyperlink>
      <w:r>
        <w:t>)</w:t>
      </w:r>
    </w:p>
    <w:p w:rsidR="00EC6401" w:rsidRDefault="00EC6401" w:rsidP="00644C2E">
      <w:pPr>
        <w:autoSpaceDE w:val="0"/>
        <w:autoSpaceDN w:val="0"/>
        <w:adjustRightInd w:val="0"/>
        <w:spacing w:after="0" w:line="240" w:lineRule="auto"/>
        <w:rPr>
          <w:rFonts w:cs="Shaker2Lancet-Bold"/>
          <w:b/>
          <w:bCs/>
        </w:rPr>
      </w:pPr>
    </w:p>
    <w:p w:rsidR="00EC6401" w:rsidRPr="000507D9" w:rsidRDefault="000507D9" w:rsidP="000507D9">
      <w:pPr>
        <w:autoSpaceDE w:val="0"/>
        <w:autoSpaceDN w:val="0"/>
        <w:adjustRightInd w:val="0"/>
        <w:spacing w:after="0" w:line="240" w:lineRule="auto"/>
        <w:rPr>
          <w:rFonts w:cs="Shaker2Lancet-Bold"/>
          <w:bCs/>
        </w:rPr>
      </w:pPr>
      <w:r w:rsidRPr="000507D9">
        <w:rPr>
          <w:rFonts w:cs="Shaker2Lancet-Bold"/>
          <w:bCs/>
        </w:rPr>
        <w:t>-</w:t>
      </w:r>
      <w:r>
        <w:rPr>
          <w:rFonts w:cs="Shaker2Lancet-Bold"/>
          <w:bCs/>
        </w:rPr>
        <w:t xml:space="preserve"> D</w:t>
      </w:r>
      <w:r w:rsidR="00D53662" w:rsidRPr="000507D9">
        <w:rPr>
          <w:rFonts w:cs="Shaker2Lancet-Bold"/>
          <w:bCs/>
        </w:rPr>
        <w:t xml:space="preserve">ans ces situations difficiles, tant sur le plan de la charge de travail que sur le plan humain n’hésitez pas à demander du soutien : </w:t>
      </w:r>
    </w:p>
    <w:p w:rsidR="00C20E26" w:rsidRPr="00C20E26" w:rsidRDefault="00C20E26" w:rsidP="00644C2E">
      <w:pPr>
        <w:pStyle w:val="Paragraphedeliste"/>
        <w:numPr>
          <w:ilvl w:val="0"/>
          <w:numId w:val="6"/>
        </w:numPr>
        <w:autoSpaceDE w:val="0"/>
        <w:autoSpaceDN w:val="0"/>
        <w:adjustRightInd w:val="0"/>
        <w:spacing w:after="0" w:line="240" w:lineRule="auto"/>
        <w:rPr>
          <w:rFonts w:cs="Shaker2Lancet-Bold"/>
          <w:bCs/>
        </w:rPr>
      </w:pPr>
      <w:r w:rsidRPr="00C20E26">
        <w:rPr>
          <w:rFonts w:cs="Shaker2Lancet-Bold"/>
          <w:bCs/>
        </w:rPr>
        <w:t xml:space="preserve">Vous pouvez exercer un </w:t>
      </w:r>
      <w:hyperlink r:id="rId16" w:history="1">
        <w:r w:rsidRPr="00136B09">
          <w:rPr>
            <w:rStyle w:val="Lienhypertexte"/>
            <w:rFonts w:cs="Shaker2Lancet-Bold"/>
            <w:bCs/>
          </w:rPr>
          <w:t>droit au retrait</w:t>
        </w:r>
      </w:hyperlink>
      <w:r w:rsidRPr="00C20E26">
        <w:rPr>
          <w:rFonts w:cs="Shaker2Lancet-Bold"/>
          <w:bCs/>
        </w:rPr>
        <w:t>, en cas de symptômes d’épuisement par exemple</w:t>
      </w:r>
      <w:r w:rsidR="00136B09">
        <w:rPr>
          <w:rFonts w:cs="Shaker2Lancet-Bold"/>
          <w:bCs/>
        </w:rPr>
        <w:t xml:space="preserve"> </w:t>
      </w:r>
    </w:p>
    <w:p w:rsidR="00C20E26" w:rsidRDefault="00C20E26" w:rsidP="00644C2E">
      <w:pPr>
        <w:pStyle w:val="Paragraphedeliste"/>
        <w:numPr>
          <w:ilvl w:val="0"/>
          <w:numId w:val="6"/>
        </w:numPr>
        <w:autoSpaceDE w:val="0"/>
        <w:autoSpaceDN w:val="0"/>
        <w:adjustRightInd w:val="0"/>
        <w:spacing w:after="0" w:line="240" w:lineRule="auto"/>
        <w:rPr>
          <w:rFonts w:cs="Shaker2Lancet-Bold"/>
          <w:bCs/>
        </w:rPr>
      </w:pPr>
      <w:r w:rsidRPr="00C20E26">
        <w:rPr>
          <w:rFonts w:cs="Shaker2Lancet-Bold"/>
          <w:bCs/>
        </w:rPr>
        <w:t>Des comités d’éthique se mettent en place dans les établissements pour les situations éthiquement difficiles</w:t>
      </w:r>
      <w:r w:rsidR="000507D9">
        <w:rPr>
          <w:rFonts w:cs="Shaker2Lancet-Bold"/>
          <w:bCs/>
        </w:rPr>
        <w:t xml:space="preserve">, n’hésitez pas à vous rapprocher d’eux. </w:t>
      </w:r>
    </w:p>
    <w:p w:rsidR="000507D9" w:rsidRDefault="000507D9" w:rsidP="000507D9">
      <w:pPr>
        <w:pStyle w:val="Paragraphedeliste"/>
        <w:autoSpaceDE w:val="0"/>
        <w:autoSpaceDN w:val="0"/>
        <w:adjustRightInd w:val="0"/>
        <w:spacing w:after="0" w:line="240" w:lineRule="auto"/>
        <w:rPr>
          <w:rFonts w:cs="Shaker2Lancet-Bold"/>
          <w:bCs/>
        </w:rPr>
      </w:pPr>
      <w:r>
        <w:rPr>
          <w:rFonts w:cs="Shaker2Lancet-Bold"/>
          <w:bCs/>
        </w:rPr>
        <w:t xml:space="preserve">Leur mise en place répond aux propositions du CCNE : </w:t>
      </w:r>
    </w:p>
    <w:p w:rsidR="00136B09" w:rsidRDefault="001A7757" w:rsidP="00644C2E">
      <w:pPr>
        <w:pStyle w:val="Paragraphedeliste"/>
        <w:autoSpaceDE w:val="0"/>
        <w:autoSpaceDN w:val="0"/>
        <w:adjustRightInd w:val="0"/>
        <w:spacing w:after="0" w:line="240" w:lineRule="auto"/>
        <w:rPr>
          <w:rFonts w:cs="Shaker2Lancet-Bold"/>
          <w:bCs/>
        </w:rPr>
      </w:pPr>
      <w:hyperlink r:id="rId17" w:history="1">
        <w:r w:rsidR="00136B09">
          <w:rPr>
            <w:rStyle w:val="Lienhypertexte"/>
          </w:rPr>
          <w:t>https://www.ccne-ethique.fr/sites/default/files/reponse_ccne_-_covid-19_def.pdf</w:t>
        </w:r>
      </w:hyperlink>
    </w:p>
    <w:p w:rsidR="00C20E26" w:rsidRPr="00C20E26" w:rsidRDefault="00C20E26" w:rsidP="00644C2E">
      <w:pPr>
        <w:pStyle w:val="Paragraphedeliste"/>
        <w:numPr>
          <w:ilvl w:val="0"/>
          <w:numId w:val="6"/>
        </w:numPr>
        <w:autoSpaceDE w:val="0"/>
        <w:autoSpaceDN w:val="0"/>
        <w:adjustRightInd w:val="0"/>
        <w:spacing w:after="0" w:line="240" w:lineRule="auto"/>
        <w:rPr>
          <w:rFonts w:cs="Shaker2Lancet-Bold"/>
          <w:bCs/>
        </w:rPr>
      </w:pPr>
      <w:r>
        <w:rPr>
          <w:rFonts w:cs="Shaker2Lancet-Bold"/>
          <w:bCs/>
        </w:rPr>
        <w:t xml:space="preserve">Des structures de soutien se mettent en place région par région, n’hésitez pas à les solliciter. </w:t>
      </w:r>
    </w:p>
    <w:p w:rsidR="00B55EB3" w:rsidRPr="00136B09" w:rsidRDefault="00361FF4" w:rsidP="00644C2E">
      <w:pPr>
        <w:pStyle w:val="Paragraphedeliste"/>
        <w:numPr>
          <w:ilvl w:val="0"/>
          <w:numId w:val="6"/>
        </w:numPr>
        <w:autoSpaceDE w:val="0"/>
        <w:autoSpaceDN w:val="0"/>
        <w:adjustRightInd w:val="0"/>
        <w:spacing w:after="0" w:line="240" w:lineRule="auto"/>
        <w:rPr>
          <w:rFonts w:cs="Shaker2Lancet-Bold"/>
          <w:bCs/>
        </w:rPr>
      </w:pPr>
      <w:r>
        <w:rPr>
          <w:rFonts w:cs="Shaker2Lancet-Bold"/>
          <w:bCs/>
        </w:rPr>
        <w:t>Pour l’île de France, n</w:t>
      </w:r>
      <w:r w:rsidR="00C20E26" w:rsidRPr="00C20E26">
        <w:rPr>
          <w:rFonts w:cs="Shaker2Lancet-Bold"/>
          <w:bCs/>
        </w:rPr>
        <w:t xml:space="preserve">os collègues </w:t>
      </w:r>
      <w:r w:rsidR="00136B09">
        <w:rPr>
          <w:rFonts w:cs="Shaker2Lancet-Bold"/>
          <w:bCs/>
        </w:rPr>
        <w:t xml:space="preserve">internes en psychiatrie ont </w:t>
      </w:r>
      <w:r>
        <w:rPr>
          <w:rFonts w:cs="Shaker2Lancet-Bold"/>
          <w:bCs/>
        </w:rPr>
        <w:t xml:space="preserve">renforcé le système SOSSIHP. N’hésitez pas à les joindre en cas de besoin. </w:t>
      </w:r>
    </w:p>
    <w:p w:rsidR="000D3E88" w:rsidRPr="00141BDD" w:rsidRDefault="008E2906" w:rsidP="00141BDD">
      <w:pPr>
        <w:autoSpaceDE w:val="0"/>
        <w:autoSpaceDN w:val="0"/>
        <w:adjustRightInd w:val="0"/>
        <w:spacing w:after="0" w:line="240" w:lineRule="auto"/>
        <w:rPr>
          <w:rFonts w:cs="Shaker2Lancet-Bold"/>
          <w:b/>
          <w:bCs/>
        </w:rPr>
      </w:pPr>
      <w:r w:rsidRPr="00141BDD">
        <w:rPr>
          <w:rFonts w:cs="Shaker2Lancet-Bold"/>
          <w:b/>
          <w:bCs/>
        </w:rPr>
        <w:t xml:space="preserve"> </w:t>
      </w:r>
    </w:p>
    <w:sectPr w:rsidR="000D3E88" w:rsidRPr="0014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haker2Lance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3A8E"/>
    <w:multiLevelType w:val="hybridMultilevel"/>
    <w:tmpl w:val="97CE1E72"/>
    <w:lvl w:ilvl="0" w:tplc="6E88B202">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5D56C6"/>
    <w:multiLevelType w:val="hybridMultilevel"/>
    <w:tmpl w:val="F438BD0E"/>
    <w:lvl w:ilvl="0" w:tplc="B77206D8">
      <w:start w:val="2"/>
      <w:numFmt w:val="bullet"/>
      <w:lvlText w:val="-"/>
      <w:lvlJc w:val="left"/>
      <w:pPr>
        <w:ind w:left="720" w:hanging="360"/>
      </w:pPr>
      <w:rPr>
        <w:rFonts w:ascii="inherit" w:eastAsia="Times New Roman" w:hAnsi="inherit" w:cs="Times New Roman" w:hint="default"/>
        <w:color w:val="1A1A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8B6C7E"/>
    <w:multiLevelType w:val="hybridMultilevel"/>
    <w:tmpl w:val="D3C6F424"/>
    <w:lvl w:ilvl="0" w:tplc="1902C666">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nsid w:val="49D37118"/>
    <w:multiLevelType w:val="hybridMultilevel"/>
    <w:tmpl w:val="9E8E5E96"/>
    <w:lvl w:ilvl="0" w:tplc="2DACADBC">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2954A5"/>
    <w:multiLevelType w:val="hybridMultilevel"/>
    <w:tmpl w:val="8E3AF180"/>
    <w:lvl w:ilvl="0" w:tplc="F9EC7F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9428B3"/>
    <w:multiLevelType w:val="hybridMultilevel"/>
    <w:tmpl w:val="9FDAEC40"/>
    <w:lvl w:ilvl="0" w:tplc="186E7290">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9A0578"/>
    <w:multiLevelType w:val="hybridMultilevel"/>
    <w:tmpl w:val="47480FBA"/>
    <w:lvl w:ilvl="0" w:tplc="70784952">
      <w:start w:val="3"/>
      <w:numFmt w:val="bullet"/>
      <w:lvlText w:val="-"/>
      <w:lvlJc w:val="left"/>
      <w:pPr>
        <w:ind w:left="720" w:hanging="360"/>
      </w:pPr>
      <w:rPr>
        <w:rFonts w:ascii="Calibri" w:eastAsiaTheme="minorHAnsi" w:hAnsi="Calibri" w:cs="Shaker2Lancet-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89E07BD"/>
    <w:multiLevelType w:val="hybridMultilevel"/>
    <w:tmpl w:val="125244EC"/>
    <w:lvl w:ilvl="0" w:tplc="BA18C5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56"/>
    <w:rsid w:val="000507D9"/>
    <w:rsid w:val="000519D8"/>
    <w:rsid w:val="000A38F7"/>
    <w:rsid w:val="000A41C8"/>
    <w:rsid w:val="000D3E88"/>
    <w:rsid w:val="000F1058"/>
    <w:rsid w:val="00121DB0"/>
    <w:rsid w:val="00136B09"/>
    <w:rsid w:val="00141BDD"/>
    <w:rsid w:val="00192C45"/>
    <w:rsid w:val="001A7757"/>
    <w:rsid w:val="001D2953"/>
    <w:rsid w:val="00221187"/>
    <w:rsid w:val="002D5A1A"/>
    <w:rsid w:val="002F1FAA"/>
    <w:rsid w:val="002F75EF"/>
    <w:rsid w:val="00321AA1"/>
    <w:rsid w:val="00361FF4"/>
    <w:rsid w:val="00384597"/>
    <w:rsid w:val="003D508A"/>
    <w:rsid w:val="003F3869"/>
    <w:rsid w:val="003F43F7"/>
    <w:rsid w:val="00426D27"/>
    <w:rsid w:val="004A6E6B"/>
    <w:rsid w:val="004D0C84"/>
    <w:rsid w:val="004E425F"/>
    <w:rsid w:val="005432FE"/>
    <w:rsid w:val="0058786E"/>
    <w:rsid w:val="005C5CB5"/>
    <w:rsid w:val="00601774"/>
    <w:rsid w:val="006340E1"/>
    <w:rsid w:val="00644C2E"/>
    <w:rsid w:val="00690569"/>
    <w:rsid w:val="00744156"/>
    <w:rsid w:val="008039C1"/>
    <w:rsid w:val="00864B3B"/>
    <w:rsid w:val="008C1247"/>
    <w:rsid w:val="008E2906"/>
    <w:rsid w:val="008F5DD6"/>
    <w:rsid w:val="00951EF8"/>
    <w:rsid w:val="009566DC"/>
    <w:rsid w:val="009C5C62"/>
    <w:rsid w:val="009E29D4"/>
    <w:rsid w:val="009E2F0B"/>
    <w:rsid w:val="009F320D"/>
    <w:rsid w:val="00A6324A"/>
    <w:rsid w:val="00AA1217"/>
    <w:rsid w:val="00AA3E43"/>
    <w:rsid w:val="00B108A1"/>
    <w:rsid w:val="00B55EB3"/>
    <w:rsid w:val="00B55F7D"/>
    <w:rsid w:val="00B64401"/>
    <w:rsid w:val="00BA0647"/>
    <w:rsid w:val="00BA2195"/>
    <w:rsid w:val="00BD02A6"/>
    <w:rsid w:val="00BF046E"/>
    <w:rsid w:val="00BF4E91"/>
    <w:rsid w:val="00C048F8"/>
    <w:rsid w:val="00C101DE"/>
    <w:rsid w:val="00C20E26"/>
    <w:rsid w:val="00CA062C"/>
    <w:rsid w:val="00CD15C9"/>
    <w:rsid w:val="00D0452B"/>
    <w:rsid w:val="00D53662"/>
    <w:rsid w:val="00D61621"/>
    <w:rsid w:val="00D94074"/>
    <w:rsid w:val="00DD6EA6"/>
    <w:rsid w:val="00DD7195"/>
    <w:rsid w:val="00E316AA"/>
    <w:rsid w:val="00E71E12"/>
    <w:rsid w:val="00EC6401"/>
    <w:rsid w:val="00EF21E1"/>
    <w:rsid w:val="00FE729D"/>
    <w:rsid w:val="00FF4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F38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character" w:customStyle="1" w:styleId="Titre1Car">
    <w:name w:val="Titre 1 Car"/>
    <w:basedOn w:val="Policepardfaut"/>
    <w:link w:val="Titre1"/>
    <w:uiPriority w:val="9"/>
    <w:rsid w:val="003F3869"/>
    <w:rPr>
      <w:rFonts w:ascii="Times New Roman" w:eastAsia="Times New Roman" w:hAnsi="Times New Roman" w:cs="Times New Roman"/>
      <w:b/>
      <w:bCs/>
      <w:kern w:val="36"/>
      <w:sz w:val="48"/>
      <w:szCs w:val="48"/>
      <w:lang w:eastAsia="fr-FR"/>
    </w:rPr>
  </w:style>
  <w:style w:type="character" w:customStyle="1" w:styleId="highlight">
    <w:name w:val="highlight"/>
    <w:basedOn w:val="Policepardfaut"/>
    <w:rsid w:val="003F3869"/>
  </w:style>
  <w:style w:type="character" w:styleId="Lienhypertexte">
    <w:name w:val="Hyperlink"/>
    <w:basedOn w:val="Policepardfaut"/>
    <w:uiPriority w:val="99"/>
    <w:unhideWhenUsed/>
    <w:rsid w:val="009566DC"/>
    <w:rPr>
      <w:color w:val="0000FF"/>
      <w:u w:val="single"/>
    </w:rPr>
  </w:style>
  <w:style w:type="character" w:styleId="Lienhypertextesuivivisit">
    <w:name w:val="FollowedHyperlink"/>
    <w:basedOn w:val="Policepardfaut"/>
    <w:uiPriority w:val="99"/>
    <w:semiHidden/>
    <w:unhideWhenUsed/>
    <w:rsid w:val="009566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F38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character" w:customStyle="1" w:styleId="Titre1Car">
    <w:name w:val="Titre 1 Car"/>
    <w:basedOn w:val="Policepardfaut"/>
    <w:link w:val="Titre1"/>
    <w:uiPriority w:val="9"/>
    <w:rsid w:val="003F3869"/>
    <w:rPr>
      <w:rFonts w:ascii="Times New Roman" w:eastAsia="Times New Roman" w:hAnsi="Times New Roman" w:cs="Times New Roman"/>
      <w:b/>
      <w:bCs/>
      <w:kern w:val="36"/>
      <w:sz w:val="48"/>
      <w:szCs w:val="48"/>
      <w:lang w:eastAsia="fr-FR"/>
    </w:rPr>
  </w:style>
  <w:style w:type="character" w:customStyle="1" w:styleId="highlight">
    <w:name w:val="highlight"/>
    <w:basedOn w:val="Policepardfaut"/>
    <w:rsid w:val="003F3869"/>
  </w:style>
  <w:style w:type="character" w:styleId="Lienhypertexte">
    <w:name w:val="Hyperlink"/>
    <w:basedOn w:val="Policepardfaut"/>
    <w:uiPriority w:val="99"/>
    <w:unhideWhenUsed/>
    <w:rsid w:val="009566DC"/>
    <w:rPr>
      <w:color w:val="0000FF"/>
      <w:u w:val="single"/>
    </w:rPr>
  </w:style>
  <w:style w:type="character" w:styleId="Lienhypertextesuivivisit">
    <w:name w:val="FollowedHyperlink"/>
    <w:basedOn w:val="Policepardfaut"/>
    <w:uiPriority w:val="99"/>
    <w:semiHidden/>
    <w:unhideWhenUsed/>
    <w:rsid w:val="009566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49953">
      <w:bodyDiv w:val="1"/>
      <w:marLeft w:val="0"/>
      <w:marRight w:val="0"/>
      <w:marTop w:val="0"/>
      <w:marBottom w:val="0"/>
      <w:divBdr>
        <w:top w:val="none" w:sz="0" w:space="0" w:color="auto"/>
        <w:left w:val="none" w:sz="0" w:space="0" w:color="auto"/>
        <w:bottom w:val="none" w:sz="0" w:space="0" w:color="auto"/>
        <w:right w:val="none" w:sz="0" w:space="0" w:color="auto"/>
      </w:divBdr>
    </w:div>
    <w:div w:id="1017577964">
      <w:bodyDiv w:val="1"/>
      <w:marLeft w:val="0"/>
      <w:marRight w:val="0"/>
      <w:marTop w:val="0"/>
      <w:marBottom w:val="0"/>
      <w:divBdr>
        <w:top w:val="none" w:sz="0" w:space="0" w:color="auto"/>
        <w:left w:val="none" w:sz="0" w:space="0" w:color="auto"/>
        <w:bottom w:val="none" w:sz="0" w:space="0" w:color="auto"/>
        <w:right w:val="none" w:sz="0" w:space="0" w:color="auto"/>
      </w:divBdr>
    </w:div>
    <w:div w:id="1036076726">
      <w:bodyDiv w:val="1"/>
      <w:marLeft w:val="0"/>
      <w:marRight w:val="0"/>
      <w:marTop w:val="0"/>
      <w:marBottom w:val="0"/>
      <w:divBdr>
        <w:top w:val="none" w:sz="0" w:space="0" w:color="auto"/>
        <w:left w:val="none" w:sz="0" w:space="0" w:color="auto"/>
        <w:bottom w:val="none" w:sz="0" w:space="0" w:color="auto"/>
        <w:right w:val="none" w:sz="0" w:space="0" w:color="auto"/>
      </w:divBdr>
    </w:div>
    <w:div w:id="1121538796">
      <w:bodyDiv w:val="1"/>
      <w:marLeft w:val="0"/>
      <w:marRight w:val="0"/>
      <w:marTop w:val="0"/>
      <w:marBottom w:val="0"/>
      <w:divBdr>
        <w:top w:val="none" w:sz="0" w:space="0" w:color="auto"/>
        <w:left w:val="none" w:sz="0" w:space="0" w:color="auto"/>
        <w:bottom w:val="none" w:sz="0" w:space="0" w:color="auto"/>
        <w:right w:val="none" w:sz="0" w:space="0" w:color="auto"/>
      </w:divBdr>
      <w:divsChild>
        <w:div w:id="567690236">
          <w:marLeft w:val="0"/>
          <w:marRight w:val="0"/>
          <w:marTop w:val="0"/>
          <w:marBottom w:val="0"/>
          <w:divBdr>
            <w:top w:val="none" w:sz="0" w:space="0" w:color="auto"/>
            <w:left w:val="none" w:sz="0" w:space="0" w:color="auto"/>
            <w:bottom w:val="none" w:sz="0" w:space="0" w:color="auto"/>
            <w:right w:val="none" w:sz="0" w:space="0" w:color="auto"/>
          </w:divBdr>
        </w:div>
        <w:div w:id="1158152889">
          <w:marLeft w:val="0"/>
          <w:marRight w:val="0"/>
          <w:marTop w:val="0"/>
          <w:marBottom w:val="0"/>
          <w:divBdr>
            <w:top w:val="none" w:sz="0" w:space="0" w:color="auto"/>
            <w:left w:val="none" w:sz="0" w:space="0" w:color="auto"/>
            <w:bottom w:val="none" w:sz="0" w:space="0" w:color="auto"/>
            <w:right w:val="none" w:sz="0" w:space="0" w:color="auto"/>
          </w:divBdr>
        </w:div>
        <w:div w:id="100147355">
          <w:marLeft w:val="0"/>
          <w:marRight w:val="0"/>
          <w:marTop w:val="0"/>
          <w:marBottom w:val="0"/>
          <w:divBdr>
            <w:top w:val="none" w:sz="0" w:space="0" w:color="auto"/>
            <w:left w:val="none" w:sz="0" w:space="0" w:color="auto"/>
            <w:bottom w:val="none" w:sz="0" w:space="0" w:color="auto"/>
            <w:right w:val="none" w:sz="0" w:space="0" w:color="auto"/>
          </w:divBdr>
        </w:div>
        <w:div w:id="1859075542">
          <w:marLeft w:val="0"/>
          <w:marRight w:val="0"/>
          <w:marTop w:val="0"/>
          <w:marBottom w:val="0"/>
          <w:divBdr>
            <w:top w:val="none" w:sz="0" w:space="0" w:color="auto"/>
            <w:left w:val="none" w:sz="0" w:space="0" w:color="auto"/>
            <w:bottom w:val="none" w:sz="0" w:space="0" w:color="auto"/>
            <w:right w:val="none" w:sz="0" w:space="0" w:color="auto"/>
          </w:divBdr>
        </w:div>
        <w:div w:id="1211723473">
          <w:marLeft w:val="0"/>
          <w:marRight w:val="0"/>
          <w:marTop w:val="0"/>
          <w:marBottom w:val="0"/>
          <w:divBdr>
            <w:top w:val="none" w:sz="0" w:space="0" w:color="auto"/>
            <w:left w:val="none" w:sz="0" w:space="0" w:color="auto"/>
            <w:bottom w:val="none" w:sz="0" w:space="0" w:color="auto"/>
            <w:right w:val="none" w:sz="0" w:space="0" w:color="auto"/>
          </w:divBdr>
        </w:div>
        <w:div w:id="1810592782">
          <w:marLeft w:val="0"/>
          <w:marRight w:val="0"/>
          <w:marTop w:val="0"/>
          <w:marBottom w:val="0"/>
          <w:divBdr>
            <w:top w:val="none" w:sz="0" w:space="0" w:color="auto"/>
            <w:left w:val="none" w:sz="0" w:space="0" w:color="auto"/>
            <w:bottom w:val="none" w:sz="0" w:space="0" w:color="auto"/>
            <w:right w:val="none" w:sz="0" w:space="0" w:color="auto"/>
          </w:divBdr>
        </w:div>
        <w:div w:id="1840339851">
          <w:marLeft w:val="0"/>
          <w:marRight w:val="0"/>
          <w:marTop w:val="0"/>
          <w:marBottom w:val="0"/>
          <w:divBdr>
            <w:top w:val="none" w:sz="0" w:space="0" w:color="auto"/>
            <w:left w:val="none" w:sz="0" w:space="0" w:color="auto"/>
            <w:bottom w:val="none" w:sz="0" w:space="0" w:color="auto"/>
            <w:right w:val="none" w:sz="0" w:space="0" w:color="auto"/>
          </w:divBdr>
        </w:div>
        <w:div w:id="2012175296">
          <w:marLeft w:val="0"/>
          <w:marRight w:val="0"/>
          <w:marTop w:val="0"/>
          <w:marBottom w:val="0"/>
          <w:divBdr>
            <w:top w:val="none" w:sz="0" w:space="0" w:color="auto"/>
            <w:left w:val="none" w:sz="0" w:space="0" w:color="auto"/>
            <w:bottom w:val="none" w:sz="0" w:space="0" w:color="auto"/>
            <w:right w:val="none" w:sz="0" w:space="0" w:color="auto"/>
          </w:divBdr>
        </w:div>
        <w:div w:id="1936135352">
          <w:marLeft w:val="0"/>
          <w:marRight w:val="0"/>
          <w:marTop w:val="0"/>
          <w:marBottom w:val="0"/>
          <w:divBdr>
            <w:top w:val="none" w:sz="0" w:space="0" w:color="auto"/>
            <w:left w:val="none" w:sz="0" w:space="0" w:color="auto"/>
            <w:bottom w:val="none" w:sz="0" w:space="0" w:color="auto"/>
            <w:right w:val="none" w:sz="0" w:space="0" w:color="auto"/>
          </w:divBdr>
        </w:div>
        <w:div w:id="1730303853">
          <w:marLeft w:val="0"/>
          <w:marRight w:val="0"/>
          <w:marTop w:val="0"/>
          <w:marBottom w:val="0"/>
          <w:divBdr>
            <w:top w:val="none" w:sz="0" w:space="0" w:color="auto"/>
            <w:left w:val="none" w:sz="0" w:space="0" w:color="auto"/>
            <w:bottom w:val="none" w:sz="0" w:space="0" w:color="auto"/>
            <w:right w:val="none" w:sz="0" w:space="0" w:color="auto"/>
          </w:divBdr>
        </w:div>
        <w:div w:id="462117154">
          <w:marLeft w:val="0"/>
          <w:marRight w:val="0"/>
          <w:marTop w:val="0"/>
          <w:marBottom w:val="0"/>
          <w:divBdr>
            <w:top w:val="none" w:sz="0" w:space="0" w:color="auto"/>
            <w:left w:val="none" w:sz="0" w:space="0" w:color="auto"/>
            <w:bottom w:val="none" w:sz="0" w:space="0" w:color="auto"/>
            <w:right w:val="none" w:sz="0" w:space="0" w:color="auto"/>
          </w:divBdr>
        </w:div>
        <w:div w:id="360935869">
          <w:marLeft w:val="0"/>
          <w:marRight w:val="0"/>
          <w:marTop w:val="0"/>
          <w:marBottom w:val="0"/>
          <w:divBdr>
            <w:top w:val="none" w:sz="0" w:space="0" w:color="auto"/>
            <w:left w:val="none" w:sz="0" w:space="0" w:color="auto"/>
            <w:bottom w:val="none" w:sz="0" w:space="0" w:color="auto"/>
            <w:right w:val="none" w:sz="0" w:space="0" w:color="auto"/>
          </w:divBdr>
        </w:div>
        <w:div w:id="2070497230">
          <w:marLeft w:val="0"/>
          <w:marRight w:val="0"/>
          <w:marTop w:val="0"/>
          <w:marBottom w:val="0"/>
          <w:divBdr>
            <w:top w:val="none" w:sz="0" w:space="0" w:color="auto"/>
            <w:left w:val="none" w:sz="0" w:space="0" w:color="auto"/>
            <w:bottom w:val="none" w:sz="0" w:space="0" w:color="auto"/>
            <w:right w:val="none" w:sz="0" w:space="0" w:color="auto"/>
          </w:divBdr>
        </w:div>
        <w:div w:id="1289630416">
          <w:marLeft w:val="0"/>
          <w:marRight w:val="0"/>
          <w:marTop w:val="0"/>
          <w:marBottom w:val="0"/>
          <w:divBdr>
            <w:top w:val="none" w:sz="0" w:space="0" w:color="auto"/>
            <w:left w:val="none" w:sz="0" w:space="0" w:color="auto"/>
            <w:bottom w:val="none" w:sz="0" w:space="0" w:color="auto"/>
            <w:right w:val="none" w:sz="0" w:space="0" w:color="auto"/>
          </w:divBdr>
        </w:div>
        <w:div w:id="1519126449">
          <w:marLeft w:val="0"/>
          <w:marRight w:val="0"/>
          <w:marTop w:val="0"/>
          <w:marBottom w:val="0"/>
          <w:divBdr>
            <w:top w:val="none" w:sz="0" w:space="0" w:color="auto"/>
            <w:left w:val="none" w:sz="0" w:space="0" w:color="auto"/>
            <w:bottom w:val="none" w:sz="0" w:space="0" w:color="auto"/>
            <w:right w:val="none" w:sz="0" w:space="0" w:color="auto"/>
          </w:divBdr>
        </w:div>
        <w:div w:id="191193087">
          <w:marLeft w:val="0"/>
          <w:marRight w:val="0"/>
          <w:marTop w:val="0"/>
          <w:marBottom w:val="0"/>
          <w:divBdr>
            <w:top w:val="none" w:sz="0" w:space="0" w:color="auto"/>
            <w:left w:val="none" w:sz="0" w:space="0" w:color="auto"/>
            <w:bottom w:val="none" w:sz="0" w:space="0" w:color="auto"/>
            <w:right w:val="none" w:sz="0" w:space="0" w:color="auto"/>
          </w:divBdr>
        </w:div>
        <w:div w:id="1581141195">
          <w:marLeft w:val="0"/>
          <w:marRight w:val="0"/>
          <w:marTop w:val="0"/>
          <w:marBottom w:val="0"/>
          <w:divBdr>
            <w:top w:val="none" w:sz="0" w:space="0" w:color="auto"/>
            <w:left w:val="none" w:sz="0" w:space="0" w:color="auto"/>
            <w:bottom w:val="none" w:sz="0" w:space="0" w:color="auto"/>
            <w:right w:val="none" w:sz="0" w:space="0" w:color="auto"/>
          </w:divBdr>
        </w:div>
        <w:div w:id="354768444">
          <w:marLeft w:val="0"/>
          <w:marRight w:val="0"/>
          <w:marTop w:val="0"/>
          <w:marBottom w:val="0"/>
          <w:divBdr>
            <w:top w:val="none" w:sz="0" w:space="0" w:color="auto"/>
            <w:left w:val="none" w:sz="0" w:space="0" w:color="auto"/>
            <w:bottom w:val="none" w:sz="0" w:space="0" w:color="auto"/>
            <w:right w:val="none" w:sz="0" w:space="0" w:color="auto"/>
          </w:divBdr>
        </w:div>
        <w:div w:id="1330405014">
          <w:marLeft w:val="0"/>
          <w:marRight w:val="0"/>
          <w:marTop w:val="0"/>
          <w:marBottom w:val="0"/>
          <w:divBdr>
            <w:top w:val="none" w:sz="0" w:space="0" w:color="auto"/>
            <w:left w:val="none" w:sz="0" w:space="0" w:color="auto"/>
            <w:bottom w:val="none" w:sz="0" w:space="0" w:color="auto"/>
            <w:right w:val="none" w:sz="0" w:space="0" w:color="auto"/>
          </w:divBdr>
        </w:div>
      </w:divsChild>
    </w:div>
    <w:div w:id="1722512311">
      <w:bodyDiv w:val="1"/>
      <w:marLeft w:val="0"/>
      <w:marRight w:val="0"/>
      <w:marTop w:val="0"/>
      <w:marBottom w:val="0"/>
      <w:divBdr>
        <w:top w:val="none" w:sz="0" w:space="0" w:color="auto"/>
        <w:left w:val="none" w:sz="0" w:space="0" w:color="auto"/>
        <w:bottom w:val="none" w:sz="0" w:space="0" w:color="auto"/>
        <w:right w:val="none" w:sz="0" w:space="0" w:color="auto"/>
      </w:divBdr>
      <w:divsChild>
        <w:div w:id="1145005766">
          <w:marLeft w:val="0"/>
          <w:marRight w:val="0"/>
          <w:marTop w:val="0"/>
          <w:marBottom w:val="0"/>
          <w:divBdr>
            <w:top w:val="none" w:sz="0" w:space="0" w:color="auto"/>
            <w:left w:val="none" w:sz="0" w:space="0" w:color="auto"/>
            <w:bottom w:val="none" w:sz="0" w:space="0" w:color="auto"/>
            <w:right w:val="none" w:sz="0" w:space="0" w:color="auto"/>
          </w:divBdr>
        </w:div>
        <w:div w:id="1766999885">
          <w:marLeft w:val="0"/>
          <w:marRight w:val="0"/>
          <w:marTop w:val="0"/>
          <w:marBottom w:val="0"/>
          <w:divBdr>
            <w:top w:val="none" w:sz="0" w:space="0" w:color="auto"/>
            <w:left w:val="none" w:sz="0" w:space="0" w:color="auto"/>
            <w:bottom w:val="none" w:sz="0" w:space="0" w:color="auto"/>
            <w:right w:val="none" w:sz="0" w:space="0" w:color="auto"/>
          </w:divBdr>
        </w:div>
        <w:div w:id="1856919691">
          <w:marLeft w:val="0"/>
          <w:marRight w:val="0"/>
          <w:marTop w:val="0"/>
          <w:marBottom w:val="0"/>
          <w:divBdr>
            <w:top w:val="none" w:sz="0" w:space="0" w:color="auto"/>
            <w:left w:val="none" w:sz="0" w:space="0" w:color="auto"/>
            <w:bottom w:val="none" w:sz="0" w:space="0" w:color="auto"/>
            <w:right w:val="none" w:sz="0" w:space="0" w:color="auto"/>
          </w:divBdr>
        </w:div>
        <w:div w:id="1819607778">
          <w:marLeft w:val="0"/>
          <w:marRight w:val="0"/>
          <w:marTop w:val="0"/>
          <w:marBottom w:val="0"/>
          <w:divBdr>
            <w:top w:val="none" w:sz="0" w:space="0" w:color="auto"/>
            <w:left w:val="none" w:sz="0" w:space="0" w:color="auto"/>
            <w:bottom w:val="none" w:sz="0" w:space="0" w:color="auto"/>
            <w:right w:val="none" w:sz="0" w:space="0" w:color="auto"/>
          </w:divBdr>
        </w:div>
        <w:div w:id="341663979">
          <w:marLeft w:val="0"/>
          <w:marRight w:val="0"/>
          <w:marTop w:val="0"/>
          <w:marBottom w:val="0"/>
          <w:divBdr>
            <w:top w:val="none" w:sz="0" w:space="0" w:color="auto"/>
            <w:left w:val="none" w:sz="0" w:space="0" w:color="auto"/>
            <w:bottom w:val="none" w:sz="0" w:space="0" w:color="auto"/>
            <w:right w:val="none" w:sz="0" w:space="0" w:color="auto"/>
          </w:divBdr>
        </w:div>
        <w:div w:id="1228419396">
          <w:marLeft w:val="0"/>
          <w:marRight w:val="0"/>
          <w:marTop w:val="0"/>
          <w:marBottom w:val="0"/>
          <w:divBdr>
            <w:top w:val="none" w:sz="0" w:space="0" w:color="auto"/>
            <w:left w:val="none" w:sz="0" w:space="0" w:color="auto"/>
            <w:bottom w:val="none" w:sz="0" w:space="0" w:color="auto"/>
            <w:right w:val="none" w:sz="0" w:space="0" w:color="auto"/>
          </w:divBdr>
        </w:div>
        <w:div w:id="132411902">
          <w:marLeft w:val="0"/>
          <w:marRight w:val="0"/>
          <w:marTop w:val="0"/>
          <w:marBottom w:val="0"/>
          <w:divBdr>
            <w:top w:val="none" w:sz="0" w:space="0" w:color="auto"/>
            <w:left w:val="none" w:sz="0" w:space="0" w:color="auto"/>
            <w:bottom w:val="none" w:sz="0" w:space="0" w:color="auto"/>
            <w:right w:val="none" w:sz="0" w:space="0" w:color="auto"/>
          </w:divBdr>
        </w:div>
        <w:div w:id="1504667388">
          <w:marLeft w:val="0"/>
          <w:marRight w:val="0"/>
          <w:marTop w:val="0"/>
          <w:marBottom w:val="0"/>
          <w:divBdr>
            <w:top w:val="none" w:sz="0" w:space="0" w:color="auto"/>
            <w:left w:val="none" w:sz="0" w:space="0" w:color="auto"/>
            <w:bottom w:val="none" w:sz="0" w:space="0" w:color="auto"/>
            <w:right w:val="none" w:sz="0" w:space="0" w:color="auto"/>
          </w:divBdr>
        </w:div>
        <w:div w:id="1968125767">
          <w:marLeft w:val="0"/>
          <w:marRight w:val="0"/>
          <w:marTop w:val="0"/>
          <w:marBottom w:val="0"/>
          <w:divBdr>
            <w:top w:val="none" w:sz="0" w:space="0" w:color="auto"/>
            <w:left w:val="none" w:sz="0" w:space="0" w:color="auto"/>
            <w:bottom w:val="none" w:sz="0" w:space="0" w:color="auto"/>
            <w:right w:val="none" w:sz="0" w:space="0" w:color="auto"/>
          </w:divBdr>
        </w:div>
        <w:div w:id="767820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ap.org/actualite/outils-et-ressources-soins-palliatifs-et-covid-19" TargetMode="External"/><Relationship Id="rId13" Type="http://schemas.openxmlformats.org/officeDocument/2006/relationships/hyperlink" Target="https://s3.us-west-2.amazonaws.com/secure.notion-static.com/8795ca60-ebeb-4ccc-b0d0-3b5db61fd3f3/Fiche-interne-COVID19_finale.docx.pdf?X-Amz-Algorithm=AWS4-HMAC-SHA256&amp;X-Amz-Credential=ASIAT73L2G45F2IOYYVA%2F20200321%2Fus-west-2%2Fs3%2Faws4_request&amp;X-Amz-Date=20200321T123452Z&amp;X-Amz-Expires=86400&amp;X-Amz-Security-Token=IQoJb3JpZ2luX2VjEBcaCXVzLXdlc3QtMiJHMEUCIGF1N%2BDXTM6vKcTo6zUKu8H%2BKCmgaJuoaXmySk3EiZ8ZAiEAn4wgEh68IKkA226FiHhFsQkMPW45FrUb9uI5NvtfjEkqtAMIEBAAGgwyNzQ1NjcxNDkzNzAiDLjdlkpPM%2Bth9Qa7DSqRA9J7Kzp%2FYOYxt1bkYBottRX4GSylfLR4F95C27HSdsX7KTJR7aWWZEHmfrUjIYzHZi0ieUQZhbOwa1%2B82FDj4%2BlxZSm391YkZDq%2BnlnWCmYEjprJqYGDOBN30t3vW1YOIvr4J1MMOXVPCrZ9YkdWDbKovKRgxyEYM%2FDmNOrf6EJgZ30FZi%2BZjc62NPNNLDj3yvxvYq%2FeOAPMBBVZ8vHjfS0xP3BfW1lLIcLKwIH4oFFubFNFZc4Nom9%2B6DssLYln8X9s94%2FvrlI0ttfNQthgaJHTAMerJjZxJb5iEzhYB7zeylJtnP6iqHBHJ0ZgbRO6KWxeoXplLEU8hFlMZ%2F2%2B5psVuTwP0ZBoi5tU6VaIjWXq2s452ELrRXkolHBQwZC0jKTr96TX1LNzRGAmdi84Ibxr8oXyNOUg2J%2BZiL0EgFFX2ZO2%2BpP9SwOHPVC2Lw1G2gmbLJrcb6ROQzE6W4z%2FYnzYuQhpYEkAOZjyKHEJ9ULEUAk7y6qRyr%2FkeR9T6pmpOV2Um7O59RGJCvtotMR7n6s5MK7p1vMFOusBOAiVX6rRsRc7Rx8S%2BIyy0lLIOM%2BhT%2Fmiwf56o1iDqxt6fdOROsbZHr4btNmVmuPEFF0Lymg72P7wtutz%2Fd3472siMX4DYAF%2FZijNci%2BCTQ%2FEv4yvauxWPt7vFTnQN9aKNbOYLpg6PUCL4aML7ogLA8YPyMlZuub3DAFHWCyjuBmQol3vbfK%2FqkQVP82DrqOFtULN2XPCrKGIEXo9X1qu%2FEi4rQVwA4jxsrR%2FB2AfAVcPNQJ%2Fgp1MDniWinqurZWBLm9T%2BKtFztydWBetUUjg8FQgbP3vkPpboBKa%2BKXsK6D6B%2FDjwhZEXFDytg%3D%3D&amp;X-Amz-Signature=fd588d57a763afcd3e94a22598f1b9c14594ec9c8b1c538a775c4a0410479137&amp;X-Amz-SignedHeaders=host&amp;response-content-disposition=filename%20%3D%22Fiche-interne-COVID19%2520finale.docx.pdf%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notion.so/InfoCOVID19-2fa73a38b7944cdc9441266d137e8868" TargetMode="External"/><Relationship Id="rId17" Type="http://schemas.openxmlformats.org/officeDocument/2006/relationships/hyperlink" Target="https://www.ccne-ethique.fr/sites/default/files/reponse_ccne_-_covid-19_def.pdf" TargetMode="External"/><Relationship Id="rId2" Type="http://schemas.openxmlformats.org/officeDocument/2006/relationships/numbering" Target="numbering.xml"/><Relationship Id="rId16" Type="http://schemas.openxmlformats.org/officeDocument/2006/relationships/hyperlink" Target="https://www.notion.so/Pr-vention-des-risques-psychosociaux-57bb61233a4144919941f115f8cc17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tion.so/InfoCOVID19-2fa73a38b7944cdc9441266d137e8868" TargetMode="External"/><Relationship Id="rId5" Type="http://schemas.openxmlformats.org/officeDocument/2006/relationships/settings" Target="settings.xml"/><Relationship Id="rId15" Type="http://schemas.openxmlformats.org/officeDocument/2006/relationships/hyperlink" Target="https://isni.fr/disposition-relatives-aux-internes-covid-19-instruction-ministerielle/?fbclid=IwAR0NhIjZR5Mm_CJ9vUFSXy-RWxBiJH7fJFITGpRd7VyXCIQ2LBTqf1B8O2Y" TargetMode="External"/><Relationship Id="rId10" Type="http://schemas.openxmlformats.org/officeDocument/2006/relationships/hyperlink" Target="https://www.snfge.org/tnc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ap.org/actualite/outils-et-ressources-soins-palliatifs-et-covid-19" TargetMode="External"/><Relationship Id="rId14" Type="http://schemas.openxmlformats.org/officeDocument/2006/relationships/hyperlink" Target="https://isni.fr/disposition-relatives-aux-internes-covid-19-instruction-ministerielle/?fbclid=IwAR0NhIjZR5Mm_CJ9vUFSXy-RWxBiJH7fJFITGpRd7VyXCIQ2LBTqf1B8O2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96A3-8A79-4F9C-9721-9C0C83A7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3190</Words>
  <Characters>17547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Matthieu</cp:lastModifiedBy>
  <cp:revision>16</cp:revision>
  <dcterms:created xsi:type="dcterms:W3CDTF">2020-03-20T17:24:00Z</dcterms:created>
  <dcterms:modified xsi:type="dcterms:W3CDTF">2020-03-28T11:58:00Z</dcterms:modified>
</cp:coreProperties>
</file>