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EE" w:rsidRDefault="002F75EF" w:rsidP="00744156">
      <w:pPr>
        <w:jc w:val="center"/>
        <w:rPr>
          <w:b/>
          <w:sz w:val="36"/>
          <w:szCs w:val="36"/>
        </w:rPr>
      </w:pPr>
      <w:r>
        <w:rPr>
          <w:noProof/>
          <w:lang w:eastAsia="fr-FR"/>
        </w:rPr>
        <w:drawing>
          <wp:anchor distT="0" distB="0" distL="114300" distR="114300" simplePos="0" relativeHeight="251658240" behindDoc="0" locked="0" layoutInCell="1" allowOverlap="1">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6" w:rsidRPr="00744156">
        <w:rPr>
          <w:b/>
          <w:sz w:val="36"/>
          <w:szCs w:val="36"/>
        </w:rPr>
        <w:t>Revue de presse</w:t>
      </w:r>
      <w:r w:rsidR="00DD6EA6">
        <w:rPr>
          <w:b/>
          <w:sz w:val="36"/>
          <w:szCs w:val="36"/>
        </w:rPr>
        <w:t xml:space="preserve"> du 19/02</w:t>
      </w:r>
      <w:r w:rsidR="008039C1">
        <w:rPr>
          <w:b/>
          <w:sz w:val="36"/>
          <w:szCs w:val="36"/>
        </w:rPr>
        <w:t>/2020</w:t>
      </w:r>
    </w:p>
    <w:p w:rsidR="002F75EF" w:rsidRDefault="002F75EF" w:rsidP="00744156">
      <w:pPr>
        <w:jc w:val="center"/>
        <w:rPr>
          <w:b/>
          <w:sz w:val="36"/>
          <w:szCs w:val="36"/>
        </w:rPr>
      </w:pPr>
    </w:p>
    <w:p w:rsidR="002F75EF" w:rsidRPr="00D61621" w:rsidRDefault="002F75EF" w:rsidP="00744156">
      <w:pPr>
        <w:jc w:val="center"/>
        <w:rPr>
          <w:b/>
        </w:rPr>
      </w:pPr>
    </w:p>
    <w:p w:rsidR="00744156" w:rsidRPr="00D61621" w:rsidRDefault="00744156" w:rsidP="00744156">
      <w:pPr>
        <w:spacing w:after="0"/>
      </w:pPr>
      <w:r w:rsidRPr="00D61621">
        <w:rPr>
          <w:b/>
        </w:rPr>
        <w:t xml:space="preserve">Principe : </w:t>
      </w:r>
      <w:r w:rsidRPr="00D61621">
        <w:t xml:space="preserve">L’équipe de la revue de presse se réunit une fois par mois. </w:t>
      </w:r>
    </w:p>
    <w:p w:rsidR="00744156" w:rsidRPr="00D61621" w:rsidRDefault="004E425F" w:rsidP="00744156">
      <w:pPr>
        <w:spacing w:after="0"/>
      </w:pPr>
      <w:r w:rsidRPr="00D61621">
        <w:t>Chaque membre se voit attribu</w:t>
      </w:r>
      <w:r w:rsidR="00744156" w:rsidRPr="00D61621">
        <w:t xml:space="preserve">er une revue et y sélectionne un article de son choix, qu’il a trouvé important, original, novateur … </w:t>
      </w:r>
    </w:p>
    <w:p w:rsidR="00D94074" w:rsidRPr="00D61621" w:rsidRDefault="00744156" w:rsidP="00744156">
      <w:pPr>
        <w:spacing w:after="0"/>
      </w:pPr>
      <w:r w:rsidRPr="00D61621">
        <w:t>La revue de presse n’a pas vocation à être exhaustive</w:t>
      </w:r>
      <w:r w:rsidR="00D94074" w:rsidRPr="00D61621">
        <w:t>,</w:t>
      </w:r>
      <w:r w:rsidRPr="00D61621">
        <w:t xml:space="preserve"> mais à faire découvrir des articles</w:t>
      </w:r>
      <w:r w:rsidR="00D94074" w:rsidRPr="00D61621">
        <w:t xml:space="preserve"> et à amener discussion et réflexion. </w:t>
      </w:r>
      <w:r w:rsidRPr="00D61621">
        <w:t xml:space="preserve"> </w:t>
      </w:r>
    </w:p>
    <w:p w:rsidR="00D94074" w:rsidRPr="00D61621" w:rsidRDefault="00D94074" w:rsidP="00744156">
      <w:pPr>
        <w:spacing w:after="0"/>
      </w:pPr>
      <w:r w:rsidRPr="00D61621">
        <w:t xml:space="preserve">Bonne découverte ! </w:t>
      </w:r>
    </w:p>
    <w:p w:rsidR="00744156" w:rsidRPr="00D61621" w:rsidRDefault="00744156" w:rsidP="00744156">
      <w:pPr>
        <w:spacing w:after="0"/>
      </w:pPr>
    </w:p>
    <w:p w:rsidR="00744156" w:rsidRDefault="00744156" w:rsidP="00744156">
      <w:pPr>
        <w:rPr>
          <w:b/>
        </w:rPr>
      </w:pPr>
      <w:r w:rsidRPr="00D61621">
        <w:rPr>
          <w:b/>
        </w:rPr>
        <w:t xml:space="preserve">Participants : </w:t>
      </w:r>
      <w:r w:rsidR="00AA1217" w:rsidRPr="00AA1217">
        <w:rPr>
          <w:b/>
        </w:rPr>
        <w:t xml:space="preserve">Eliot Nicolas, </w:t>
      </w:r>
      <w:r w:rsidR="005C5CB5" w:rsidRPr="00D61621">
        <w:rPr>
          <w:b/>
        </w:rPr>
        <w:t>Adrien Pro</w:t>
      </w:r>
      <w:r w:rsidR="00AA1217">
        <w:rPr>
          <w:b/>
        </w:rPr>
        <w:t xml:space="preserve">cureur, </w:t>
      </w:r>
      <w:proofErr w:type="spellStart"/>
      <w:r w:rsidR="00AA1217">
        <w:rPr>
          <w:b/>
        </w:rPr>
        <w:t>Léah</w:t>
      </w:r>
      <w:proofErr w:type="spellEnd"/>
      <w:r w:rsidR="00AA1217">
        <w:rPr>
          <w:b/>
        </w:rPr>
        <w:t xml:space="preserve"> </w:t>
      </w:r>
      <w:proofErr w:type="spellStart"/>
      <w:r w:rsidR="00AA1217">
        <w:rPr>
          <w:b/>
        </w:rPr>
        <w:t>Mailly-Giacchetti</w:t>
      </w:r>
      <w:proofErr w:type="spellEnd"/>
      <w:r w:rsidR="00AA1217">
        <w:rPr>
          <w:b/>
        </w:rPr>
        <w:t>,</w:t>
      </w:r>
      <w:r w:rsidR="005C5CB5" w:rsidRPr="00D61621">
        <w:rPr>
          <w:b/>
        </w:rPr>
        <w:t xml:space="preserve"> Juliette </w:t>
      </w:r>
      <w:proofErr w:type="spellStart"/>
      <w:r w:rsidR="005C5CB5" w:rsidRPr="00D61621">
        <w:rPr>
          <w:b/>
        </w:rPr>
        <w:t>Logeart</w:t>
      </w:r>
      <w:proofErr w:type="spellEnd"/>
      <w:r w:rsidR="00AA1217">
        <w:rPr>
          <w:b/>
        </w:rPr>
        <w:t xml:space="preserve">, </w:t>
      </w:r>
      <w:r w:rsidR="00AA1217" w:rsidRPr="00D61621">
        <w:rPr>
          <w:b/>
        </w:rPr>
        <w:t xml:space="preserve">Matthieu </w:t>
      </w:r>
      <w:proofErr w:type="spellStart"/>
      <w:r w:rsidR="00AA1217" w:rsidRPr="00D61621">
        <w:rPr>
          <w:b/>
        </w:rPr>
        <w:t>Delaye</w:t>
      </w:r>
      <w:proofErr w:type="spellEnd"/>
    </w:p>
    <w:p w:rsidR="004A6E6B" w:rsidRPr="00D61621" w:rsidRDefault="004A6E6B" w:rsidP="00744156"/>
    <w:p w:rsidR="00BA0647" w:rsidRPr="00AA1217" w:rsidRDefault="00744156" w:rsidP="008F5DD6">
      <w:pPr>
        <w:tabs>
          <w:tab w:val="center" w:pos="4536"/>
        </w:tabs>
        <w:jc w:val="center"/>
        <w:rPr>
          <w:b/>
          <w:u w:val="single"/>
        </w:rPr>
      </w:pPr>
      <w:r w:rsidRPr="00AA1217">
        <w:rPr>
          <w:b/>
          <w:u w:val="single"/>
        </w:rPr>
        <w:t>Articles sélectionnés :</w:t>
      </w:r>
    </w:p>
    <w:p w:rsidR="005C5CB5" w:rsidRPr="003F3869" w:rsidRDefault="003F3869" w:rsidP="00744156">
      <w:pPr>
        <w:rPr>
          <w:b/>
          <w:lang w:val="en-US"/>
        </w:rPr>
      </w:pPr>
      <w:proofErr w:type="spellStart"/>
      <w:r w:rsidRPr="003F3869">
        <w:rPr>
          <w:b/>
          <w:lang w:val="en-US"/>
        </w:rPr>
        <w:t>Léah</w:t>
      </w:r>
      <w:proofErr w:type="spellEnd"/>
      <w:r w:rsidRPr="003F3869">
        <w:rPr>
          <w:b/>
          <w:lang w:val="en-US"/>
        </w:rPr>
        <w:t xml:space="preserve"> </w:t>
      </w:r>
    </w:p>
    <w:p w:rsidR="003F3869" w:rsidRPr="003F3869" w:rsidRDefault="005C5CB5" w:rsidP="003F3869">
      <w:pPr>
        <w:pStyle w:val="Titre1"/>
        <w:shd w:val="clear" w:color="auto" w:fill="FFFFFF"/>
        <w:spacing w:before="120" w:beforeAutospacing="0" w:after="120" w:afterAutospacing="0" w:line="300" w:lineRule="atLeast"/>
        <w:rPr>
          <w:rFonts w:asciiTheme="minorHAnsi" w:hAnsiTheme="minorHAnsi" w:cs="Arial"/>
          <w:color w:val="000000"/>
          <w:sz w:val="22"/>
          <w:szCs w:val="22"/>
          <w:lang w:val="en-US"/>
        </w:rPr>
      </w:pPr>
      <w:proofErr w:type="gramStart"/>
      <w:r w:rsidRPr="003F3869">
        <w:rPr>
          <w:rFonts w:asciiTheme="minorHAnsi" w:hAnsiTheme="minorHAnsi"/>
          <w:sz w:val="22"/>
          <w:szCs w:val="22"/>
          <w:lang w:val="en-US"/>
        </w:rPr>
        <w:t>JCO :</w:t>
      </w:r>
      <w:proofErr w:type="gramEnd"/>
      <w:r w:rsidR="003F3869" w:rsidRPr="003F3869">
        <w:rPr>
          <w:rFonts w:asciiTheme="minorHAnsi" w:hAnsiTheme="minorHAnsi"/>
          <w:b w:val="0"/>
          <w:sz w:val="22"/>
          <w:szCs w:val="22"/>
          <w:lang w:val="en-US"/>
        </w:rPr>
        <w:t xml:space="preserve"> </w:t>
      </w:r>
      <w:r w:rsidR="003F3869" w:rsidRPr="003F3869">
        <w:rPr>
          <w:rFonts w:asciiTheme="minorHAnsi" w:hAnsiTheme="minorHAnsi" w:cs="Arial"/>
          <w:color w:val="000000"/>
          <w:sz w:val="22"/>
          <w:szCs w:val="22"/>
          <w:lang w:val="en-US"/>
        </w:rPr>
        <w:t>EV-101: A Phase I Study of Single-Agent </w:t>
      </w:r>
      <w:proofErr w:type="spellStart"/>
      <w:r w:rsidR="003F3869" w:rsidRPr="003F3869">
        <w:rPr>
          <w:rFonts w:asciiTheme="minorHAnsi" w:hAnsiTheme="minorHAnsi" w:cs="Arial"/>
          <w:color w:val="000000"/>
          <w:sz w:val="22"/>
          <w:szCs w:val="22"/>
          <w:lang w:val="en-US"/>
        </w:rPr>
        <w:t>Enfortumab</w:t>
      </w:r>
      <w:proofErr w:type="spellEnd"/>
      <w:r w:rsidR="003F3869" w:rsidRPr="003F3869">
        <w:rPr>
          <w:rFonts w:asciiTheme="minorHAnsi" w:hAnsiTheme="minorHAnsi" w:cs="Arial"/>
          <w:color w:val="000000"/>
          <w:sz w:val="22"/>
          <w:szCs w:val="22"/>
          <w:lang w:val="en-US"/>
        </w:rPr>
        <w:t xml:space="preserve"> </w:t>
      </w:r>
      <w:proofErr w:type="spellStart"/>
      <w:r w:rsidR="003F3869" w:rsidRPr="003F3869">
        <w:rPr>
          <w:rFonts w:asciiTheme="minorHAnsi" w:hAnsiTheme="minorHAnsi" w:cs="Arial"/>
          <w:color w:val="000000"/>
          <w:sz w:val="22"/>
          <w:szCs w:val="22"/>
          <w:lang w:val="en-US"/>
        </w:rPr>
        <w:t>Vedotin</w:t>
      </w:r>
      <w:proofErr w:type="spellEnd"/>
      <w:r w:rsidR="003F3869" w:rsidRPr="003F3869">
        <w:rPr>
          <w:rFonts w:asciiTheme="minorHAnsi" w:hAnsiTheme="minorHAnsi" w:cs="Arial"/>
          <w:color w:val="000000"/>
          <w:sz w:val="22"/>
          <w:szCs w:val="22"/>
          <w:lang w:val="en-US"/>
        </w:rPr>
        <w:t xml:space="preserve"> in Patients With Nectin-4-Positive Solid Tumors, Including Metastatic </w:t>
      </w:r>
      <w:proofErr w:type="spellStart"/>
      <w:r w:rsidR="003F3869" w:rsidRPr="003F3869">
        <w:rPr>
          <w:rFonts w:asciiTheme="minorHAnsi" w:hAnsiTheme="minorHAnsi" w:cs="Arial"/>
          <w:color w:val="000000"/>
          <w:sz w:val="22"/>
          <w:szCs w:val="22"/>
          <w:lang w:val="en-US"/>
        </w:rPr>
        <w:t>Urothelial</w:t>
      </w:r>
      <w:proofErr w:type="spellEnd"/>
      <w:r w:rsidR="003F3869" w:rsidRPr="003F3869">
        <w:rPr>
          <w:rFonts w:asciiTheme="minorHAnsi" w:hAnsiTheme="minorHAnsi" w:cs="Arial"/>
          <w:color w:val="000000"/>
          <w:sz w:val="22"/>
          <w:szCs w:val="22"/>
          <w:lang w:val="en-US"/>
        </w:rPr>
        <w:t xml:space="preserve"> Carcinoma</w:t>
      </w:r>
    </w:p>
    <w:p w:rsidR="005C5CB5" w:rsidRPr="003F3869" w:rsidRDefault="005C5CB5" w:rsidP="00744156">
      <w:pPr>
        <w:rPr>
          <w:b/>
          <w:lang w:val="en-US"/>
        </w:rPr>
      </w:pPr>
    </w:p>
    <w:p w:rsidR="003F3869" w:rsidRDefault="003F3869" w:rsidP="003F3869">
      <w:proofErr w:type="spellStart"/>
      <w:r>
        <w:rPr>
          <w:u w:val="single"/>
        </w:rPr>
        <w:t>Physiopath</w:t>
      </w:r>
      <w:proofErr w:type="spellEnd"/>
      <w:r>
        <w:t xml:space="preserve"> : Nectine-4 (N-4), protéine transmembranaire de type 1 appartenant à la famille des </w:t>
      </w:r>
      <w:proofErr w:type="spellStart"/>
      <w:r>
        <w:t>Ig</w:t>
      </w:r>
      <w:proofErr w:type="spellEnd"/>
      <w:r>
        <w:t xml:space="preserve"> </w:t>
      </w:r>
      <w:proofErr w:type="spellStart"/>
      <w:r>
        <w:t>like</w:t>
      </w:r>
      <w:proofErr w:type="spellEnd"/>
      <w:r>
        <w:t xml:space="preserve">, permet l’adhésion cellule-cellule et l’adhésion de </w:t>
      </w:r>
      <w:proofErr w:type="spellStart"/>
      <w:r>
        <w:t>glycopeptides</w:t>
      </w:r>
      <w:proofErr w:type="spellEnd"/>
      <w:r>
        <w:t xml:space="preserve"> viraux, récepteurs immunitaires. Ces dernières participent aux mécanismes d’</w:t>
      </w:r>
      <w:proofErr w:type="spellStart"/>
      <w:r>
        <w:t>immuno</w:t>
      </w:r>
      <w:proofErr w:type="spellEnd"/>
      <w:r>
        <w:t>-modulation, d’interaction entre pathogènes et cellule hôtes, de l’</w:t>
      </w:r>
      <w:proofErr w:type="spellStart"/>
      <w:r>
        <w:t>immuno</w:t>
      </w:r>
      <w:proofErr w:type="spellEnd"/>
      <w:r>
        <w:t xml:space="preserve">-évasion  et des mécanismes de progression tumorales. Surexpression dans les tumeurs </w:t>
      </w:r>
      <w:proofErr w:type="spellStart"/>
      <w:r>
        <w:t>urothéliales</w:t>
      </w:r>
      <w:proofErr w:type="spellEnd"/>
      <w:r>
        <w:t xml:space="preserve">++. Physiologiquement exprimée de manière modérée par les cellules de la peau. </w:t>
      </w:r>
    </w:p>
    <w:p w:rsidR="003F3869" w:rsidRDefault="003F3869" w:rsidP="003F3869">
      <w:proofErr w:type="spellStart"/>
      <w:r>
        <w:t>Enfortumab</w:t>
      </w:r>
      <w:proofErr w:type="spellEnd"/>
      <w:r>
        <w:t xml:space="preserve"> </w:t>
      </w:r>
      <w:proofErr w:type="spellStart"/>
      <w:r>
        <w:t>Vedotin</w:t>
      </w:r>
      <w:proofErr w:type="spellEnd"/>
      <w:r>
        <w:t xml:space="preserve"> (EV) : anticorps monoclonal humanisé. Mode d’action : liaison spécifiques aux cellules </w:t>
      </w:r>
      <w:proofErr w:type="spellStart"/>
      <w:r>
        <w:t>surexprimant</w:t>
      </w:r>
      <w:proofErr w:type="spellEnd"/>
      <w:r>
        <w:t xml:space="preserve"> N-4 entrainant une internalisation du </w:t>
      </w:r>
      <w:proofErr w:type="spellStart"/>
      <w:r>
        <w:t>complex</w:t>
      </w:r>
      <w:proofErr w:type="spellEnd"/>
      <w:r>
        <w:t xml:space="preserve"> EV-N-4, entrainant la libération de </w:t>
      </w:r>
      <w:proofErr w:type="spellStart"/>
      <w:r>
        <w:t>monomethyl</w:t>
      </w:r>
      <w:proofErr w:type="spellEnd"/>
      <w:r>
        <w:t xml:space="preserve"> </w:t>
      </w:r>
      <w:proofErr w:type="spellStart"/>
      <w:r>
        <w:t>auristatin</w:t>
      </w:r>
      <w:proofErr w:type="spellEnd"/>
      <w:r>
        <w:t xml:space="preserve"> (MMAE) responsable d’une dégradation des microtubules de la cellule cancéreuse et donc la mort par apoptose.</w:t>
      </w:r>
    </w:p>
    <w:p w:rsidR="003F3869" w:rsidRDefault="003F3869" w:rsidP="003F3869">
      <w:r>
        <w:rPr>
          <w:u w:val="single"/>
        </w:rPr>
        <w:t>Contexte </w:t>
      </w:r>
      <w:r>
        <w:t xml:space="preserve">: Arsenal thérapeutique limité dans les carcinomes </w:t>
      </w:r>
      <w:proofErr w:type="spellStart"/>
      <w:r>
        <w:t>urothéliaux</w:t>
      </w:r>
      <w:proofErr w:type="spellEnd"/>
      <w:r>
        <w:t xml:space="preserve"> métastatiques (</w:t>
      </w:r>
      <w:proofErr w:type="spellStart"/>
      <w:r>
        <w:t>mUC</w:t>
      </w:r>
      <w:proofErr w:type="spellEnd"/>
      <w:r>
        <w:t>) : Doublet à base de Platine en 1</w:t>
      </w:r>
      <w:r>
        <w:rPr>
          <w:vertAlign w:val="superscript"/>
        </w:rPr>
        <w:t>ère</w:t>
      </w:r>
      <w:r>
        <w:t xml:space="preserve"> ligne (avec une survie à 5 ans &lt;5%) mais  50% de patients non éligibles pour le </w:t>
      </w:r>
      <w:proofErr w:type="spellStart"/>
      <w:r>
        <w:t>Cisplatine</w:t>
      </w:r>
      <w:proofErr w:type="spellEnd"/>
      <w:r>
        <w:t>, Anti-PD(L</w:t>
      </w:r>
      <w:proofErr w:type="gramStart"/>
      <w:r>
        <w:t>)1</w:t>
      </w:r>
      <w:proofErr w:type="gramEnd"/>
      <w:r>
        <w:t xml:space="preserve"> en 2</w:t>
      </w:r>
      <w:r>
        <w:rPr>
          <w:vertAlign w:val="superscript"/>
        </w:rPr>
        <w:t>ème</w:t>
      </w:r>
      <w:r>
        <w:t xml:space="preserve"> ligne (avec un taux de ORR variant de  13 à 21% selon les études) .  Il est donc indispensable de se pencher sur de nouvelles approches thérapeutiques pour cette pathologie.</w:t>
      </w:r>
    </w:p>
    <w:p w:rsidR="003F3869" w:rsidRDefault="003F3869" w:rsidP="003F3869">
      <w:r>
        <w:rPr>
          <w:u w:val="single"/>
        </w:rPr>
        <w:t>Résumé de l’étude </w:t>
      </w:r>
      <w:r>
        <w:t>: phase I escalade de dose/dose expansion en 3 parties</w:t>
      </w:r>
    </w:p>
    <w:p w:rsidR="003F3869" w:rsidRDefault="003F3869" w:rsidP="003F3869">
      <w:pPr>
        <w:pStyle w:val="Paragraphedeliste"/>
        <w:numPr>
          <w:ilvl w:val="0"/>
          <w:numId w:val="5"/>
        </w:numPr>
      </w:pPr>
      <w:r>
        <w:t xml:space="preserve">201 tumeurs solides Nectine4 positive (par IHC) dont 155 </w:t>
      </w:r>
      <w:proofErr w:type="spellStart"/>
      <w:r>
        <w:t>mUC</w:t>
      </w:r>
      <w:proofErr w:type="spellEnd"/>
      <w:r>
        <w:t xml:space="preserve"> (vessie et voies excrétrices supérieures en majorité) autres histologies : ovaires, NSCLC, colon, appendice. Moyenne </w:t>
      </w:r>
      <w:r>
        <w:lastRenderedPageBreak/>
        <w:t>d’âge de 67 ans, 30% &gt; ou égale à 3</w:t>
      </w:r>
      <w:r>
        <w:rPr>
          <w:vertAlign w:val="superscript"/>
        </w:rPr>
        <w:t>ème</w:t>
      </w:r>
      <w:r>
        <w:t xml:space="preserve"> ligne, 70% PS </w:t>
      </w:r>
      <w:r>
        <w:rPr>
          <w:rFonts w:ascii="MS Gothic" w:eastAsia="MS Gothic"/>
          <w:color w:val="000000"/>
        </w:rPr>
        <w:t>≥</w:t>
      </w:r>
      <w:r>
        <w:rPr>
          <w:rFonts w:ascii="MS Gothic" w:eastAsia="MS Gothic" w:hint="eastAsia"/>
          <w:color w:val="000000"/>
        </w:rPr>
        <w:t>1</w:t>
      </w:r>
      <w:r>
        <w:t xml:space="preserve">. Principaux sites métastatiques : poumon (51%) et le foie (39%). </w:t>
      </w:r>
    </w:p>
    <w:p w:rsidR="003F3869" w:rsidRDefault="003F3869" w:rsidP="003F3869">
      <w:pPr>
        <w:pStyle w:val="Paragraphedeliste"/>
        <w:numPr>
          <w:ilvl w:val="0"/>
          <w:numId w:val="5"/>
        </w:numPr>
      </w:pPr>
      <w:r>
        <w:t xml:space="preserve">Après phase escalade de dose, dose retenue de 1,25 mg/kg sur un protocole J1, J8, J15, J1=J28 : 112 patients traités à cette posologie. </w:t>
      </w:r>
    </w:p>
    <w:p w:rsidR="003F3869" w:rsidRDefault="003F3869" w:rsidP="003F3869">
      <w:pPr>
        <w:pStyle w:val="Paragraphedeliste"/>
        <w:numPr>
          <w:ilvl w:val="0"/>
          <w:numId w:val="5"/>
        </w:numPr>
      </w:pPr>
      <w:r>
        <w:t>Part A (</w:t>
      </w:r>
      <w:proofErr w:type="spellStart"/>
      <w:r>
        <w:t>securité</w:t>
      </w:r>
      <w:proofErr w:type="gramStart"/>
      <w:r>
        <w:t>,tolérance,PK</w:t>
      </w:r>
      <w:proofErr w:type="spellEnd"/>
      <w:proofErr w:type="gramEnd"/>
      <w:r>
        <w:t xml:space="preserve"> sur les 112 patients):  Au moins 1 EI lié au </w:t>
      </w:r>
      <w:proofErr w:type="spellStart"/>
      <w:r>
        <w:t>ttt</w:t>
      </w:r>
      <w:proofErr w:type="spellEnd"/>
      <w:r>
        <w:t xml:space="preserve"> chez 94%, dont 34% de grade </w:t>
      </w:r>
      <w:r>
        <w:rPr>
          <w:rFonts w:ascii="MS Gothic" w:eastAsia="MS Gothic"/>
          <w:color w:val="000000"/>
        </w:rPr>
        <w:t>≥</w:t>
      </w:r>
      <w:r>
        <w:t xml:space="preserve">3. Principaux EI: fatigue, perte appétit, alopécie, nausée, prurit, diarrhée, </w:t>
      </w:r>
      <w:r>
        <w:rPr>
          <w:u w:val="single"/>
        </w:rPr>
        <w:t>neuropathie périphérique sensitive</w:t>
      </w:r>
      <w:r>
        <w:t xml:space="preserve"> (1</w:t>
      </w:r>
      <w:r>
        <w:rPr>
          <w:vertAlign w:val="superscript"/>
        </w:rPr>
        <w:t>er</w:t>
      </w:r>
      <w:r>
        <w:t xml:space="preserve"> EI ayant entrainé une discontinuation de traitement). Hyperglycémie sévère de grade 4 a été </w:t>
      </w:r>
      <w:proofErr w:type="gramStart"/>
      <w:r>
        <w:t>observé</w:t>
      </w:r>
      <w:proofErr w:type="gramEnd"/>
      <w:r>
        <w:t xml:space="preserve"> chez 5% de patients. Les EI cutanés prévus dans le protocole, 45% des patients ont eu recours à un </w:t>
      </w:r>
      <w:proofErr w:type="spellStart"/>
      <w:r>
        <w:t>ttt</w:t>
      </w:r>
      <w:proofErr w:type="spellEnd"/>
      <w:r>
        <w:t xml:space="preserve"> contre le rash grade IV (dermatite bulleuse). </w:t>
      </w:r>
    </w:p>
    <w:p w:rsidR="003F3869" w:rsidRDefault="003F3869" w:rsidP="003F3869">
      <w:pPr>
        <w:pStyle w:val="Paragraphedeliste"/>
        <w:numPr>
          <w:ilvl w:val="0"/>
          <w:numId w:val="5"/>
        </w:numPr>
      </w:pPr>
      <w:r>
        <w:t xml:space="preserve">Part B : toujours en cours de recrutement, phase de dose expansion sur </w:t>
      </w:r>
      <w:proofErr w:type="spellStart"/>
      <w:r>
        <w:t>mUC</w:t>
      </w:r>
      <w:proofErr w:type="spellEnd"/>
      <w:r>
        <w:t>, ovaire et NSCLC </w:t>
      </w:r>
    </w:p>
    <w:p w:rsidR="003F3869" w:rsidRDefault="003F3869" w:rsidP="003F3869">
      <w:pPr>
        <w:pStyle w:val="Paragraphedeliste"/>
        <w:numPr>
          <w:ilvl w:val="0"/>
          <w:numId w:val="5"/>
        </w:numPr>
      </w:pPr>
      <w:r>
        <w:t xml:space="preserve">Part C (89 patients): dose expansion pour les </w:t>
      </w:r>
      <w:proofErr w:type="spellStart"/>
      <w:r>
        <w:t>mUC</w:t>
      </w:r>
      <w:proofErr w:type="spellEnd"/>
      <w:r>
        <w:t xml:space="preserve"> en progression sous anti-PD(L</w:t>
      </w:r>
      <w:proofErr w:type="gramStart"/>
      <w:r>
        <w:t>)1</w:t>
      </w:r>
      <w:proofErr w:type="gramEnd"/>
    </w:p>
    <w:p w:rsidR="003F3869" w:rsidRDefault="003F3869" w:rsidP="003F3869">
      <w:pPr>
        <w:pStyle w:val="Paragraphedeliste"/>
        <w:numPr>
          <w:ilvl w:val="0"/>
          <w:numId w:val="5"/>
        </w:numPr>
      </w:pPr>
      <w:r>
        <w:t xml:space="preserve">Résultats des CJS (112 patients) : suivi total 16,5 mois avec 36% de patients vivants. PFS médiane 7,5mois, OS médiane 12,3 mois et </w:t>
      </w:r>
      <w:proofErr w:type="spellStart"/>
      <w:r>
        <w:t>Obejctive</w:t>
      </w:r>
      <w:proofErr w:type="spellEnd"/>
      <w:r>
        <w:t xml:space="preserve"> </w:t>
      </w:r>
      <w:proofErr w:type="spellStart"/>
      <w:r>
        <w:t>Response</w:t>
      </w:r>
      <w:proofErr w:type="spellEnd"/>
      <w:r>
        <w:t xml:space="preserve"> Rate de 43%. Résultats similaires dans les </w:t>
      </w:r>
      <w:proofErr w:type="spellStart"/>
      <w:r>
        <w:t>sous groupes</w:t>
      </w:r>
      <w:proofErr w:type="spellEnd"/>
      <w:r>
        <w:t xml:space="preserve"> &gt;75ans et atteinte des voies excrétrices supérieures (pronostic péjoratif)</w:t>
      </w:r>
    </w:p>
    <w:p w:rsidR="003F3869" w:rsidRDefault="003F3869" w:rsidP="003F3869">
      <w:pPr>
        <w:pStyle w:val="Paragraphedeliste"/>
        <w:numPr>
          <w:ilvl w:val="0"/>
          <w:numId w:val="5"/>
        </w:numPr>
      </w:pPr>
      <w:r>
        <w:t xml:space="preserve">Résultats partie C : </w:t>
      </w:r>
      <w:proofErr w:type="spellStart"/>
      <w:r>
        <w:t>PFSm</w:t>
      </w:r>
      <w:proofErr w:type="spellEnd"/>
      <w:r>
        <w:t xml:space="preserve"> 6,6mois, </w:t>
      </w:r>
      <w:proofErr w:type="spellStart"/>
      <w:r>
        <w:t>OSm</w:t>
      </w:r>
      <w:proofErr w:type="spellEnd"/>
      <w:r>
        <w:t xml:space="preserve"> de 12,3 mois ; résultats similaires pour les 35% de métastatiques hépatiques. 4 décès par toxicités mais probablement d’origine mixte</w:t>
      </w:r>
    </w:p>
    <w:p w:rsidR="003F3869" w:rsidRDefault="003F3869" w:rsidP="003F3869">
      <w:r>
        <w:rPr>
          <w:u w:val="single"/>
        </w:rPr>
        <w:t>Conclusion/Commentaire </w:t>
      </w:r>
      <w:r>
        <w:t xml:space="preserve">: </w:t>
      </w:r>
    </w:p>
    <w:p w:rsidR="003F3869" w:rsidRDefault="003F3869" w:rsidP="003F3869">
      <w:pPr>
        <w:pStyle w:val="Paragraphedeliste"/>
        <w:numPr>
          <w:ilvl w:val="0"/>
          <w:numId w:val="5"/>
        </w:numPr>
      </w:pPr>
      <w:r>
        <w:t xml:space="preserve">Toxicité qui semble être acceptable, mais dans une population probablement très </w:t>
      </w:r>
      <w:proofErr w:type="spellStart"/>
      <w:r>
        <w:t>selectionnée</w:t>
      </w:r>
      <w:proofErr w:type="spellEnd"/>
      <w:r>
        <w:t> : peu de patients PS 1 en 3</w:t>
      </w:r>
      <w:r>
        <w:rPr>
          <w:vertAlign w:val="superscript"/>
        </w:rPr>
        <w:t>ème</w:t>
      </w:r>
      <w:r>
        <w:t xml:space="preserve"> ligne d’un carcinome </w:t>
      </w:r>
      <w:proofErr w:type="spellStart"/>
      <w:r>
        <w:t>urothélial</w:t>
      </w:r>
      <w:proofErr w:type="spellEnd"/>
      <w:r>
        <w:t xml:space="preserve"> en pratique clinique </w:t>
      </w:r>
    </w:p>
    <w:p w:rsidR="003F3869" w:rsidRDefault="003F3869" w:rsidP="003F3869">
      <w:pPr>
        <w:pStyle w:val="Paragraphedeliste"/>
        <w:numPr>
          <w:ilvl w:val="0"/>
          <w:numId w:val="5"/>
        </w:numPr>
      </w:pPr>
      <w:r>
        <w:t>Résultats en survie prometteurs, pour rappel OS médiane dans KEYNOTE 045 (</w:t>
      </w:r>
      <w:proofErr w:type="spellStart"/>
      <w:r>
        <w:t>Pembrolizumab</w:t>
      </w:r>
      <w:proofErr w:type="spellEnd"/>
      <w:r>
        <w:t xml:space="preserve"> en L2 des </w:t>
      </w:r>
      <w:proofErr w:type="spellStart"/>
      <w:r>
        <w:t>UCm</w:t>
      </w:r>
      <w:proofErr w:type="spellEnd"/>
      <w:r>
        <w:t>) était de 10,3 mois. Aujourd’hui pas de standard pour les progressions sous anti-PD(L</w:t>
      </w:r>
      <w:proofErr w:type="gramStart"/>
      <w:r>
        <w:t>)1</w:t>
      </w:r>
      <w:proofErr w:type="gramEnd"/>
    </w:p>
    <w:p w:rsidR="003F3869" w:rsidRDefault="003F3869" w:rsidP="003F3869">
      <w:pPr>
        <w:pStyle w:val="Paragraphedeliste"/>
        <w:widowControl w:val="0"/>
        <w:numPr>
          <w:ilvl w:val="0"/>
          <w:numId w:val="5"/>
        </w:numPr>
        <w:autoSpaceDE w:val="0"/>
        <w:autoSpaceDN w:val="0"/>
        <w:adjustRightInd w:val="0"/>
        <w:spacing w:after="240" w:line="280" w:lineRule="atLeast"/>
        <w:rPr>
          <w:rFonts w:cs="Times Roman"/>
          <w:color w:val="000000"/>
        </w:rPr>
      </w:pPr>
      <w:r>
        <w:t xml:space="preserve">Phase II est actuellement en cours de recrutement </w:t>
      </w:r>
      <w:r>
        <w:rPr>
          <w:rFonts w:cs="Times Roman"/>
          <w:color w:val="000000"/>
        </w:rPr>
        <w:t xml:space="preserve">(EV-201; ClinicalTrials.gov identifier: </w:t>
      </w:r>
      <w:r>
        <w:rPr>
          <w:rFonts w:cs="Times Roman"/>
          <w:color w:val="0000FF"/>
        </w:rPr>
        <w:t>NCT03219333</w:t>
      </w:r>
      <w:r>
        <w:rPr>
          <w:rFonts w:cs="Times Roman"/>
          <w:color w:val="000000"/>
        </w:rPr>
        <w:t>) et une phase I/II en cours évalue l’efficacité de EV associé à d’autres molécules</w:t>
      </w:r>
      <w:r>
        <w:rPr>
          <w:rFonts w:ascii="Times Roman" w:hAnsi="Times Roman" w:cs="Times Roman"/>
          <w:color w:val="000000"/>
          <w:sz w:val="24"/>
          <w:szCs w:val="24"/>
        </w:rPr>
        <w:t xml:space="preserve"> notamment </w:t>
      </w:r>
      <w:proofErr w:type="spellStart"/>
      <w:r>
        <w:rPr>
          <w:rFonts w:cs="Times Roman"/>
          <w:color w:val="000000"/>
        </w:rPr>
        <w:t>Pembrolizumab</w:t>
      </w:r>
      <w:proofErr w:type="spellEnd"/>
      <w:r>
        <w:rPr>
          <w:rFonts w:cs="Times Roman"/>
          <w:color w:val="000000"/>
        </w:rPr>
        <w:t xml:space="preserve"> </w:t>
      </w:r>
      <w:r>
        <w:rPr>
          <w:rFonts w:ascii="Times Roman" w:hAnsi="Times Roman" w:cs="Times Roman"/>
          <w:color w:val="000000"/>
          <w:sz w:val="24"/>
          <w:szCs w:val="24"/>
        </w:rPr>
        <w:t>(</w:t>
      </w:r>
      <w:r>
        <w:rPr>
          <w:rFonts w:cs="Times Roman"/>
          <w:color w:val="000000"/>
        </w:rPr>
        <w:t xml:space="preserve">ClinicalTrials.gov identifier: </w:t>
      </w:r>
      <w:r>
        <w:rPr>
          <w:rFonts w:cs="Times Roman"/>
          <w:color w:val="0000FF"/>
        </w:rPr>
        <w:t>NCT03288545</w:t>
      </w:r>
      <w:r>
        <w:rPr>
          <w:rFonts w:cs="Times Roman"/>
          <w:color w:val="000000"/>
        </w:rPr>
        <w:t xml:space="preserve">). </w:t>
      </w:r>
    </w:p>
    <w:p w:rsidR="003F3869" w:rsidRDefault="003F3869" w:rsidP="003F3869">
      <w:pPr>
        <w:pStyle w:val="Paragraphedeliste"/>
        <w:numPr>
          <w:ilvl w:val="0"/>
          <w:numId w:val="5"/>
        </w:numPr>
      </w:pPr>
      <w:r>
        <w:t xml:space="preserve">A noter phase III ouverte comparant EV versus Chimiothérapie </w:t>
      </w:r>
      <w:proofErr w:type="spellStart"/>
      <w:r>
        <w:t>mUC</w:t>
      </w:r>
      <w:proofErr w:type="spellEnd"/>
      <w:r>
        <w:t xml:space="preserve"> : pas de patients recrutés ce jour. Comparaison à l’immunothérapie serait plus pertinente. </w:t>
      </w:r>
    </w:p>
    <w:p w:rsidR="003F3869" w:rsidRDefault="003F3869" w:rsidP="003F3869"/>
    <w:p w:rsidR="003F3869" w:rsidRDefault="003F3869" w:rsidP="003F3869"/>
    <w:p w:rsidR="003F3869" w:rsidRPr="00AA1217" w:rsidRDefault="003F3869" w:rsidP="00744156">
      <w:pPr>
        <w:rPr>
          <w:b/>
        </w:rPr>
      </w:pPr>
    </w:p>
    <w:p w:rsidR="005432FE" w:rsidRPr="00AA1217" w:rsidRDefault="005432FE" w:rsidP="00744156">
      <w:pPr>
        <w:rPr>
          <w:b/>
        </w:rPr>
      </w:pPr>
    </w:p>
    <w:p w:rsidR="005432FE" w:rsidRPr="00AA1217" w:rsidRDefault="005432FE" w:rsidP="00744156">
      <w:pPr>
        <w:rPr>
          <w:b/>
        </w:rPr>
      </w:pPr>
    </w:p>
    <w:p w:rsidR="005432FE" w:rsidRPr="00AA1217" w:rsidRDefault="005432FE" w:rsidP="00744156">
      <w:pPr>
        <w:rPr>
          <w:b/>
        </w:rPr>
      </w:pPr>
    </w:p>
    <w:p w:rsidR="005432FE" w:rsidRPr="00AA1217" w:rsidRDefault="005432FE" w:rsidP="00744156">
      <w:pPr>
        <w:rPr>
          <w:b/>
        </w:rPr>
      </w:pPr>
    </w:p>
    <w:p w:rsidR="005432FE" w:rsidRPr="00AA1217" w:rsidRDefault="005432FE" w:rsidP="00744156">
      <w:pPr>
        <w:rPr>
          <w:b/>
        </w:rPr>
      </w:pPr>
    </w:p>
    <w:p w:rsidR="005432FE" w:rsidRPr="00AA1217" w:rsidRDefault="005432FE" w:rsidP="00744156">
      <w:pPr>
        <w:rPr>
          <w:b/>
        </w:rPr>
      </w:pPr>
    </w:p>
    <w:p w:rsidR="00DD6EA6" w:rsidRPr="00AA1217" w:rsidRDefault="00BA0647" w:rsidP="00744156">
      <w:pPr>
        <w:rPr>
          <w:b/>
        </w:rPr>
      </w:pPr>
      <w:bookmarkStart w:id="0" w:name="_GoBack"/>
      <w:bookmarkEnd w:id="0"/>
      <w:r w:rsidRPr="00AA1217">
        <w:rPr>
          <w:b/>
        </w:rPr>
        <w:t>Matthieu :</w:t>
      </w:r>
    </w:p>
    <w:p w:rsidR="00DD6EA6" w:rsidRPr="000A38F7" w:rsidRDefault="000A38F7" w:rsidP="00DD6EA6">
      <w:pPr>
        <w:autoSpaceDE w:val="0"/>
        <w:autoSpaceDN w:val="0"/>
        <w:adjustRightInd w:val="0"/>
        <w:spacing w:after="0" w:line="240" w:lineRule="auto"/>
        <w:rPr>
          <w:rFonts w:cs="GuardianSans-Medium"/>
          <w:b/>
          <w:lang w:val="en-US"/>
        </w:rPr>
      </w:pPr>
      <w:r w:rsidRPr="00AA1217">
        <w:rPr>
          <w:b/>
        </w:rPr>
        <w:t xml:space="preserve"> </w:t>
      </w:r>
      <w:r w:rsidRPr="000A38F7">
        <w:rPr>
          <w:b/>
          <w:u w:val="single"/>
          <w:lang w:val="en-US"/>
        </w:rPr>
        <w:t>JAMA oncology</w:t>
      </w:r>
      <w:r w:rsidR="00DD6EA6">
        <w:rPr>
          <w:b/>
          <w:lang w:val="en-US"/>
        </w:rPr>
        <w:t xml:space="preserve">: </w:t>
      </w:r>
      <w:r w:rsidR="00DD6EA6" w:rsidRPr="000A38F7">
        <w:rPr>
          <w:rFonts w:cs="GuardianSans-Medium"/>
          <w:b/>
          <w:lang w:val="en-US"/>
        </w:rPr>
        <w:t xml:space="preserve">Association of Germline Genetic Testing Results </w:t>
      </w:r>
      <w:proofErr w:type="gramStart"/>
      <w:r w:rsidR="00DD6EA6" w:rsidRPr="000A38F7">
        <w:rPr>
          <w:rFonts w:cs="GuardianSans-Medium"/>
          <w:b/>
          <w:lang w:val="en-US"/>
        </w:rPr>
        <w:t>With</w:t>
      </w:r>
      <w:proofErr w:type="gramEnd"/>
      <w:r w:rsidR="00DD6EA6" w:rsidRPr="000A38F7">
        <w:rPr>
          <w:rFonts w:cs="GuardianSans-Medium"/>
          <w:b/>
          <w:lang w:val="en-US"/>
        </w:rPr>
        <w:t xml:space="preserve"> </w:t>
      </w:r>
      <w:proofErr w:type="spellStart"/>
      <w:r w:rsidR="00DD6EA6" w:rsidRPr="000A38F7">
        <w:rPr>
          <w:rFonts w:cs="GuardianSans-Medium"/>
          <w:b/>
          <w:lang w:val="en-US"/>
        </w:rPr>
        <w:t>Locoregional</w:t>
      </w:r>
      <w:proofErr w:type="spellEnd"/>
    </w:p>
    <w:p w:rsidR="00BA0647" w:rsidRPr="00EF21E1" w:rsidRDefault="00DD6EA6" w:rsidP="00DD6EA6">
      <w:pPr>
        <w:rPr>
          <w:rFonts w:cs="GuardianSans-Medium"/>
          <w:b/>
        </w:rPr>
      </w:pPr>
      <w:proofErr w:type="gramStart"/>
      <w:r w:rsidRPr="000A38F7">
        <w:rPr>
          <w:rFonts w:cs="GuardianSans-Medium"/>
          <w:b/>
          <w:lang w:val="en-US"/>
        </w:rPr>
        <w:t>and</w:t>
      </w:r>
      <w:proofErr w:type="gramEnd"/>
      <w:r w:rsidRPr="000A38F7">
        <w:rPr>
          <w:rFonts w:cs="GuardianSans-Medium"/>
          <w:b/>
          <w:lang w:val="en-US"/>
        </w:rPr>
        <w:t xml:space="preserve"> Systemic Therapy in Patients With Breast Cancer. </w:t>
      </w:r>
      <w:proofErr w:type="spellStart"/>
      <w:r w:rsidR="000A38F7" w:rsidRPr="00EF21E1">
        <w:rPr>
          <w:rFonts w:cs="GuardianSans-Medium"/>
          <w:b/>
        </w:rPr>
        <w:t>Kurian</w:t>
      </w:r>
      <w:proofErr w:type="spellEnd"/>
      <w:r w:rsidR="000A38F7" w:rsidRPr="00EF21E1">
        <w:rPr>
          <w:rFonts w:cs="GuardianSans-Medium"/>
          <w:b/>
        </w:rPr>
        <w:t xml:space="preserve"> and al. </w:t>
      </w:r>
    </w:p>
    <w:p w:rsidR="000A38F7" w:rsidRDefault="000A38F7" w:rsidP="0058786E">
      <w:pPr>
        <w:spacing w:after="120"/>
        <w:rPr>
          <w:rFonts w:cs="GuardianSans-Medium"/>
        </w:rPr>
      </w:pPr>
      <w:r w:rsidRPr="000A38F7">
        <w:rPr>
          <w:rFonts w:cs="GuardianSans-Medium"/>
        </w:rPr>
        <w:t>La recherche d’ano</w:t>
      </w:r>
      <w:r>
        <w:rPr>
          <w:rFonts w:cs="GuardianSans-Medium"/>
        </w:rPr>
        <w:t>malies génétiques tumorales est</w:t>
      </w:r>
      <w:r w:rsidRPr="000A38F7">
        <w:rPr>
          <w:rFonts w:cs="GuardianSans-Medium"/>
        </w:rPr>
        <w:t xml:space="preserve"> de plus en plus fréquente</w:t>
      </w:r>
      <w:r>
        <w:rPr>
          <w:rFonts w:cs="GuardianSans-Medium"/>
        </w:rPr>
        <w:t xml:space="preserve">s, et notamment dans le cancer du sein (BRCA 1 et 2, PALB2, TP53 …). </w:t>
      </w:r>
    </w:p>
    <w:p w:rsidR="000A38F7" w:rsidRDefault="000A38F7" w:rsidP="00DD6EA6">
      <w:pPr>
        <w:rPr>
          <w:rFonts w:cs="GuardianSans-Medium"/>
        </w:rPr>
      </w:pPr>
      <w:r>
        <w:rPr>
          <w:rFonts w:cs="GuardianSans-Medium"/>
        </w:rPr>
        <w:t xml:space="preserve">L’objectif est, avant toute chose, de pouvoir dépister les apparentés, et de surveiller l’apparition d’un second cancer chez le cas index. Mais désormais, ces anomalies peuvent orienter la prise en charge, avec l’intérêt démontré des inhibiteurs de PARP. </w:t>
      </w:r>
    </w:p>
    <w:p w:rsidR="002D5A1A" w:rsidRDefault="002D5A1A" w:rsidP="002D5A1A">
      <w:pPr>
        <w:autoSpaceDE w:val="0"/>
        <w:autoSpaceDN w:val="0"/>
        <w:adjustRightInd w:val="0"/>
        <w:spacing w:after="0" w:line="240" w:lineRule="auto"/>
        <w:rPr>
          <w:rFonts w:cs="GuardianSans-Medium"/>
        </w:rPr>
      </w:pPr>
      <w:r>
        <w:rPr>
          <w:rFonts w:cs="GuardianSans-Medium"/>
        </w:rPr>
        <w:t xml:space="preserve">Les auteurs rappellent  que les recommandations actuelles proposent une chirurgie mammaire controlatérale dans le cas de certains </w:t>
      </w:r>
      <w:proofErr w:type="spellStart"/>
      <w:r>
        <w:rPr>
          <w:rFonts w:cs="GuardianSans-Medium"/>
        </w:rPr>
        <w:t>variants</w:t>
      </w:r>
      <w:proofErr w:type="spellEnd"/>
      <w:r>
        <w:rPr>
          <w:rFonts w:cs="GuardianSans-Medium"/>
        </w:rPr>
        <w:t xml:space="preserve"> de BRCA, PTEN et TP53 uniquement</w:t>
      </w:r>
      <w:r w:rsidR="00601774">
        <w:rPr>
          <w:rFonts w:cs="GuardianSans-Medium"/>
        </w:rPr>
        <w:t xml:space="preserve"> (pas d’essai randomisé néanmoins)</w:t>
      </w:r>
      <w:r>
        <w:rPr>
          <w:rFonts w:cs="GuardianSans-Medium"/>
        </w:rPr>
        <w:t xml:space="preserve">. </w:t>
      </w:r>
    </w:p>
    <w:p w:rsidR="002D5A1A" w:rsidRDefault="002D5A1A" w:rsidP="0058786E">
      <w:pPr>
        <w:autoSpaceDE w:val="0"/>
        <w:autoSpaceDN w:val="0"/>
        <w:adjustRightInd w:val="0"/>
        <w:spacing w:after="0" w:line="240" w:lineRule="auto"/>
        <w:rPr>
          <w:rFonts w:cs="GuardianSans-Medium"/>
        </w:rPr>
      </w:pPr>
      <w:r>
        <w:rPr>
          <w:rFonts w:cs="GuardianSans-Medium"/>
        </w:rPr>
        <w:t xml:space="preserve">Que la découverte d’une anomalie de modifie par le traitement de radiothérapie sauf éventuellement en cas d’anomalie de TP53. </w:t>
      </w:r>
    </w:p>
    <w:p w:rsidR="002D5A1A" w:rsidRPr="002D5A1A" w:rsidRDefault="002D5A1A" w:rsidP="0058786E">
      <w:pPr>
        <w:autoSpaceDE w:val="0"/>
        <w:autoSpaceDN w:val="0"/>
        <w:adjustRightInd w:val="0"/>
        <w:spacing w:after="0" w:line="240" w:lineRule="auto"/>
      </w:pPr>
      <w:r>
        <w:rPr>
          <w:rFonts w:cs="GuardianSans-Medium"/>
        </w:rPr>
        <w:t xml:space="preserve">Et que le traitement systémique des stades localisé n’est pas différent. </w:t>
      </w:r>
    </w:p>
    <w:p w:rsidR="0058786E" w:rsidRDefault="0058786E" w:rsidP="0058786E">
      <w:pPr>
        <w:tabs>
          <w:tab w:val="left" w:pos="2060"/>
        </w:tabs>
        <w:spacing w:after="0"/>
        <w:rPr>
          <w:b/>
        </w:rPr>
      </w:pPr>
      <w:r>
        <w:rPr>
          <w:b/>
        </w:rPr>
        <w:tab/>
      </w:r>
    </w:p>
    <w:p w:rsidR="002D5A1A" w:rsidRDefault="002D5A1A" w:rsidP="0058786E">
      <w:pPr>
        <w:spacing w:after="0"/>
        <w:rPr>
          <w:rFonts w:cs="GuardianSans-Medium"/>
        </w:rPr>
      </w:pPr>
      <w:r>
        <w:rPr>
          <w:rFonts w:cs="GuardianSans-Medium"/>
        </w:rPr>
        <w:t xml:space="preserve">Dans cet essai, les auteurs cherchent à observer si,  dans la pratique actuelle, la découverte d’une anomalie génétique modifie la prise en charge chirurgicale, </w:t>
      </w:r>
      <w:proofErr w:type="spellStart"/>
      <w:r>
        <w:rPr>
          <w:rFonts w:cs="GuardianSans-Medium"/>
        </w:rPr>
        <w:t>radiothérapeutique</w:t>
      </w:r>
      <w:proofErr w:type="spellEnd"/>
      <w:r>
        <w:rPr>
          <w:rFonts w:cs="GuardianSans-Medium"/>
        </w:rPr>
        <w:t xml:space="preserve"> ou systémique chez des patientes atteintes d’un cancer du sein, jusqu’au stade III. </w:t>
      </w:r>
    </w:p>
    <w:p w:rsidR="009F320D" w:rsidRDefault="009F320D" w:rsidP="002D5A1A">
      <w:pPr>
        <w:rPr>
          <w:rFonts w:cs="GuardianSans-Medium"/>
        </w:rPr>
      </w:pPr>
      <w:r>
        <w:rPr>
          <w:rFonts w:cs="GuardianSans-Medium"/>
        </w:rPr>
        <w:t>Pour ce faire, les auteurs ont analysé les données des regi</w:t>
      </w:r>
      <w:r w:rsidR="00951EF8">
        <w:rPr>
          <w:rFonts w:cs="GuardianSans-Medium"/>
        </w:rPr>
        <w:t>stres de deux états américains et ont cherché les déviati</w:t>
      </w:r>
      <w:r w:rsidR="0058786E">
        <w:rPr>
          <w:rFonts w:cs="GuardianSans-Medium"/>
        </w:rPr>
        <w:t xml:space="preserve">ons aux recommandations </w:t>
      </w:r>
      <w:r w:rsidR="00951EF8">
        <w:rPr>
          <w:rFonts w:cs="GuardianSans-Medium"/>
        </w:rPr>
        <w:t xml:space="preserve">selon la présence ou non d’une anomalie génétique identifiée. </w:t>
      </w:r>
    </w:p>
    <w:p w:rsidR="00951EF8" w:rsidRDefault="00951EF8" w:rsidP="00601774">
      <w:pPr>
        <w:spacing w:after="0"/>
        <w:rPr>
          <w:rFonts w:cs="GuardianSans-Medium"/>
        </w:rPr>
      </w:pPr>
      <w:r>
        <w:rPr>
          <w:rFonts w:cs="GuardianSans-Medium"/>
        </w:rPr>
        <w:t xml:space="preserve">Sur 120 000 patientes, 20 600 avaient eu une recherche. </w:t>
      </w:r>
    </w:p>
    <w:p w:rsidR="00951EF8" w:rsidRDefault="00951EF8" w:rsidP="00601774">
      <w:pPr>
        <w:spacing w:after="0"/>
        <w:rPr>
          <w:rFonts w:cs="GuardianSans-Medium"/>
        </w:rPr>
      </w:pPr>
      <w:r>
        <w:rPr>
          <w:rFonts w:cs="GuardianSans-Medium"/>
        </w:rPr>
        <w:t xml:space="preserve">La mastectomie controlatérale était réalisée dans 66% des cas en mutation BRCA et 43% en cas d’autres anomalies et 24% lorsqu’aucune anomalie était retrouvée. </w:t>
      </w:r>
    </w:p>
    <w:p w:rsidR="00951EF8" w:rsidRDefault="00601774" w:rsidP="00601774">
      <w:pPr>
        <w:spacing w:after="0"/>
        <w:rPr>
          <w:rFonts w:cs="GuardianSans-Medium"/>
        </w:rPr>
      </w:pPr>
      <w:r>
        <w:rPr>
          <w:rFonts w:cs="GuardianSans-Medium"/>
        </w:rPr>
        <w:t xml:space="preserve">La radiothérapie n’était réalisée que dans 51 % des cas si BRCA muté contre 85% si test négatif. </w:t>
      </w:r>
    </w:p>
    <w:p w:rsidR="00601774" w:rsidRDefault="00601774" w:rsidP="00601774">
      <w:pPr>
        <w:spacing w:after="0"/>
        <w:rPr>
          <w:rFonts w:cs="GuardianSans-Medium"/>
        </w:rPr>
      </w:pPr>
      <w:r>
        <w:rPr>
          <w:rFonts w:cs="GuardianSans-Medium"/>
        </w:rPr>
        <w:t xml:space="preserve">Le statut BRCA faisait également varier les indications de traitements systémiques. </w:t>
      </w:r>
    </w:p>
    <w:p w:rsidR="00601774" w:rsidRDefault="0058786E" w:rsidP="002D5A1A">
      <w:pPr>
        <w:rPr>
          <w:rFonts w:cs="GuardianSans-Medium"/>
        </w:rPr>
      </w:pPr>
      <w:r>
        <w:rPr>
          <w:rFonts w:cs="GuardianSans-Medium"/>
        </w:rPr>
        <w:t xml:space="preserve">Il n’y avait pas de données sur le taux de récidive ou de survie. </w:t>
      </w:r>
    </w:p>
    <w:p w:rsidR="00601774" w:rsidRDefault="00601774" w:rsidP="002D5A1A">
      <w:pPr>
        <w:rPr>
          <w:rFonts w:cs="GuardianSans-Medium"/>
        </w:rPr>
      </w:pPr>
      <w:r>
        <w:rPr>
          <w:rFonts w:cs="GuardianSans-Medium"/>
        </w:rPr>
        <w:t xml:space="preserve">Les anomalies génétiques modifient donc la prise en charge thérapeutique dans les deux Etats analysés, avec beaucoup d’écart aux recommandations, et notamment une tendance à sous-traiter les patientes (radiothérapie post tumorectomie) et à inclure la génétique comme facteur indiquant la chimiothérapie adjuvante. </w:t>
      </w:r>
    </w:p>
    <w:p w:rsidR="0058786E" w:rsidRDefault="0058786E" w:rsidP="0058786E">
      <w:pPr>
        <w:spacing w:after="0"/>
        <w:rPr>
          <w:rFonts w:cs="GuardianSans-Medium"/>
        </w:rPr>
      </w:pPr>
      <w:r>
        <w:rPr>
          <w:rFonts w:cs="GuardianSans-Medium"/>
        </w:rPr>
        <w:t xml:space="preserve">Pourtant, à part pour TP53, les données sur l’irradiation chez les patientes ayant une mutation identifiées sont rassurantes. </w:t>
      </w:r>
    </w:p>
    <w:p w:rsidR="0058786E" w:rsidRDefault="0058786E" w:rsidP="0058786E">
      <w:pPr>
        <w:spacing w:after="0"/>
        <w:rPr>
          <w:rFonts w:cs="GuardianSans-Medium"/>
        </w:rPr>
      </w:pPr>
      <w:r>
        <w:rPr>
          <w:rFonts w:cs="GuardianSans-Medium"/>
        </w:rPr>
        <w:t xml:space="preserve">De même, les données sont discordantes quant à l’intérêt d’inclure le statut BRCA comme argument pour décider d’une chimiothérapie adjuvante. </w:t>
      </w:r>
    </w:p>
    <w:p w:rsidR="002D5A1A" w:rsidRDefault="002D5A1A" w:rsidP="00744156">
      <w:pPr>
        <w:rPr>
          <w:b/>
        </w:rPr>
      </w:pPr>
    </w:p>
    <w:p w:rsidR="0058786E" w:rsidRDefault="0058786E" w:rsidP="00744156">
      <w:r>
        <w:t xml:space="preserve">L’analyse génétique est monnaie courante dans le cancer du sein,  mais l’adaptation de la prise en charge en fonction de ses résultats doit se limiter à ce qui a fait la preuve de son intérêt, au risque sinon de sous ou sur-traiter ces patientes. </w:t>
      </w:r>
    </w:p>
    <w:p w:rsidR="00864B3B" w:rsidRPr="0058786E" w:rsidRDefault="00864B3B" w:rsidP="00744156"/>
    <w:p w:rsidR="00EF21E1" w:rsidRPr="00EF21E1" w:rsidRDefault="005C5CB5" w:rsidP="00EF21E1">
      <w:pPr>
        <w:spacing w:after="0" w:line="240" w:lineRule="auto"/>
        <w:rPr>
          <w:rFonts w:eastAsia="Times New Roman" w:cs="Tahoma"/>
          <w:b/>
          <w:color w:val="000000"/>
          <w:shd w:val="clear" w:color="auto" w:fill="FFFFFF"/>
          <w:lang w:val="en-US" w:eastAsia="fr-FR"/>
        </w:rPr>
      </w:pPr>
      <w:r>
        <w:rPr>
          <w:rFonts w:eastAsia="Times New Roman" w:cs="Tahoma"/>
          <w:b/>
          <w:color w:val="000000"/>
          <w:shd w:val="clear" w:color="auto" w:fill="FFFFFF"/>
          <w:lang w:val="en-US" w:eastAsia="fr-FR"/>
        </w:rPr>
        <w:t>Juliette:</w:t>
      </w:r>
    </w:p>
    <w:p w:rsidR="00EF21E1" w:rsidRPr="00EF21E1" w:rsidRDefault="00EF21E1" w:rsidP="00EF21E1">
      <w:pPr>
        <w:spacing w:after="0" w:line="240" w:lineRule="auto"/>
        <w:rPr>
          <w:rFonts w:eastAsia="Times New Roman" w:cs="Tahoma"/>
          <w:b/>
          <w:color w:val="000000"/>
          <w:lang w:val="en-US" w:eastAsia="fr-FR"/>
        </w:rPr>
      </w:pPr>
      <w:r w:rsidRPr="005C5CB5">
        <w:rPr>
          <w:rFonts w:eastAsia="Times New Roman" w:cs="Tahoma"/>
          <w:b/>
          <w:color w:val="000000"/>
          <w:u w:val="single"/>
          <w:shd w:val="clear" w:color="auto" w:fill="FFFFFF"/>
          <w:lang w:val="en-US" w:eastAsia="fr-FR"/>
        </w:rPr>
        <w:t>NEJM</w:t>
      </w:r>
      <w:r w:rsidR="005C5CB5" w:rsidRPr="005C5CB5">
        <w:rPr>
          <w:rFonts w:eastAsia="Times New Roman" w:cs="Tahoma"/>
          <w:b/>
          <w:color w:val="000000"/>
          <w:u w:val="single"/>
          <w:shd w:val="clear" w:color="auto" w:fill="FFFFFF"/>
          <w:lang w:val="en-US" w:eastAsia="fr-FR"/>
        </w:rPr>
        <w:t>:</w:t>
      </w:r>
      <w:r w:rsidRPr="00EF21E1">
        <w:rPr>
          <w:rFonts w:eastAsia="Times New Roman" w:cs="Tahoma"/>
          <w:b/>
          <w:color w:val="000000"/>
          <w:shd w:val="clear" w:color="auto" w:fill="FFFFFF"/>
          <w:lang w:val="en-US" w:eastAsia="fr-FR"/>
        </w:rPr>
        <w:t xml:space="preserve"> </w:t>
      </w:r>
      <w:r w:rsidRPr="00EF21E1">
        <w:rPr>
          <w:rFonts w:eastAsia="Times New Roman" w:cs="Tahoma"/>
          <w:b/>
          <w:color w:val="000000"/>
          <w:lang w:val="en-US" w:eastAsia="fr-FR"/>
        </w:rPr>
        <w:t>O</w:t>
      </w:r>
      <w:r w:rsidR="00192C45">
        <w:rPr>
          <w:rFonts w:eastAsia="Times New Roman" w:cs="Tahoma"/>
          <w:b/>
          <w:color w:val="000000"/>
          <w:lang w:val="en-US" w:eastAsia="fr-FR"/>
        </w:rPr>
        <w:t xml:space="preserve">verall survival with </w:t>
      </w:r>
      <w:proofErr w:type="spellStart"/>
      <w:r w:rsidR="00192C45">
        <w:rPr>
          <w:rFonts w:eastAsia="Times New Roman" w:cs="Tahoma"/>
          <w:b/>
          <w:color w:val="000000"/>
          <w:lang w:val="en-US" w:eastAsia="fr-FR"/>
        </w:rPr>
        <w:t>Ribociclib</w:t>
      </w:r>
      <w:proofErr w:type="spellEnd"/>
      <w:r w:rsidR="00192C45">
        <w:rPr>
          <w:rFonts w:eastAsia="Times New Roman" w:cs="Tahoma"/>
          <w:b/>
          <w:color w:val="000000"/>
          <w:lang w:val="en-US" w:eastAsia="fr-FR"/>
        </w:rPr>
        <w:t xml:space="preserve"> </w:t>
      </w:r>
      <w:r w:rsidRPr="00EF21E1">
        <w:rPr>
          <w:rFonts w:eastAsia="Times New Roman" w:cs="Tahoma"/>
          <w:b/>
          <w:color w:val="000000"/>
          <w:lang w:val="en-US" w:eastAsia="fr-FR"/>
        </w:rPr>
        <w:t xml:space="preserve">plus </w:t>
      </w:r>
      <w:proofErr w:type="spellStart"/>
      <w:r w:rsidRPr="00EF21E1">
        <w:rPr>
          <w:rFonts w:eastAsia="Times New Roman" w:cs="Tahoma"/>
          <w:b/>
          <w:color w:val="000000"/>
          <w:lang w:val="en-US" w:eastAsia="fr-FR"/>
        </w:rPr>
        <w:t>Fulvestran</w:t>
      </w:r>
      <w:proofErr w:type="spellEnd"/>
      <w:r w:rsidRPr="00EF21E1">
        <w:rPr>
          <w:rFonts w:eastAsia="Times New Roman" w:cs="Tahoma"/>
          <w:b/>
          <w:color w:val="000000"/>
          <w:lang w:val="en-US" w:eastAsia="fr-FR"/>
        </w:rPr>
        <w:t xml:space="preserve"> in advanced Breast Cancer.</w:t>
      </w:r>
    </w:p>
    <w:p w:rsidR="00EF21E1" w:rsidRDefault="00EF21E1" w:rsidP="00EF21E1">
      <w:pPr>
        <w:spacing w:after="0" w:line="240" w:lineRule="auto"/>
        <w:rPr>
          <w:rFonts w:eastAsia="Times New Roman" w:cs="Tahoma"/>
          <w:color w:val="000000"/>
          <w:lang w:val="en-US" w:eastAsia="fr-FR"/>
        </w:rPr>
      </w:pPr>
    </w:p>
    <w:p w:rsidR="009E2F0B" w:rsidRPr="005432FE" w:rsidRDefault="005432FE" w:rsidP="00EF21E1">
      <w:pPr>
        <w:spacing w:after="0" w:line="240" w:lineRule="auto"/>
        <w:rPr>
          <w:rFonts w:eastAsia="Times New Roman" w:cs="Tahoma"/>
          <w:color w:val="000000"/>
          <w:lang w:eastAsia="fr-FR"/>
        </w:rPr>
      </w:pPr>
      <w:r w:rsidRPr="005432FE">
        <w:rPr>
          <w:rFonts w:eastAsia="Times New Roman" w:cs="Tahoma"/>
          <w:color w:val="000000"/>
          <w:lang w:eastAsia="fr-FR"/>
        </w:rPr>
        <w:t>Les essais MONALEESA d’</w:t>
      </w:r>
      <w:r>
        <w:rPr>
          <w:rFonts w:eastAsia="Times New Roman" w:cs="Tahoma"/>
          <w:color w:val="000000"/>
          <w:lang w:eastAsia="fr-FR"/>
        </w:rPr>
        <w:t xml:space="preserve">intéressent au </w:t>
      </w:r>
      <w:proofErr w:type="spellStart"/>
      <w:r>
        <w:rPr>
          <w:rFonts w:eastAsia="Times New Roman" w:cs="Tahoma"/>
          <w:color w:val="000000"/>
          <w:lang w:eastAsia="fr-FR"/>
        </w:rPr>
        <w:t>R</w:t>
      </w:r>
      <w:r w:rsidRPr="005432FE">
        <w:rPr>
          <w:rFonts w:eastAsia="Times New Roman" w:cs="Tahoma"/>
          <w:color w:val="000000"/>
          <w:lang w:eastAsia="fr-FR"/>
        </w:rPr>
        <w:t>ibociclib</w:t>
      </w:r>
      <w:proofErr w:type="spellEnd"/>
      <w:r>
        <w:rPr>
          <w:rFonts w:eastAsia="Times New Roman" w:cs="Tahoma"/>
          <w:color w:val="000000"/>
          <w:lang w:eastAsia="fr-FR"/>
        </w:rPr>
        <w:t xml:space="preserve">, un inhibiteur de CDK 4/6, </w:t>
      </w:r>
      <w:r w:rsidRPr="005432FE">
        <w:rPr>
          <w:rFonts w:eastAsia="Times New Roman" w:cs="Tahoma"/>
          <w:color w:val="000000"/>
          <w:lang w:eastAsia="fr-FR"/>
        </w:rPr>
        <w:t xml:space="preserve"> dans le cancer du sein. </w:t>
      </w:r>
    </w:p>
    <w:p w:rsidR="00EF21E1" w:rsidRPr="00EF21E1"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 xml:space="preserve">Il s’agit ici  de la </w:t>
      </w:r>
      <w:r w:rsidR="00EF21E1" w:rsidRPr="00EF21E1">
        <w:rPr>
          <w:rFonts w:eastAsia="Times New Roman" w:cs="Tahoma"/>
          <w:color w:val="000000"/>
          <w:lang w:eastAsia="fr-FR"/>
        </w:rPr>
        <w:t>2e analyse intermédiaire de l'étude MONALEESA 3</w:t>
      </w:r>
      <w:r>
        <w:rPr>
          <w:rFonts w:eastAsia="Times New Roman" w:cs="Tahoma"/>
          <w:color w:val="000000"/>
          <w:lang w:eastAsia="fr-FR"/>
        </w:rPr>
        <w:t>,</w:t>
      </w:r>
      <w:r w:rsidR="00EF21E1" w:rsidRPr="00EF21E1">
        <w:rPr>
          <w:rFonts w:eastAsia="Times New Roman" w:cs="Tahoma"/>
          <w:color w:val="000000"/>
          <w:lang w:eastAsia="fr-FR"/>
        </w:rPr>
        <w:t xml:space="preserve"> s'intéressan</w:t>
      </w:r>
      <w:r>
        <w:rPr>
          <w:rFonts w:eastAsia="Times New Roman" w:cs="Tahoma"/>
          <w:color w:val="000000"/>
          <w:lang w:eastAsia="fr-FR"/>
        </w:rPr>
        <w:t xml:space="preserve">t aux données préliminaires </w:t>
      </w:r>
      <w:proofErr w:type="spellStart"/>
      <w:r>
        <w:rPr>
          <w:rFonts w:eastAsia="Times New Roman" w:cs="Tahoma"/>
          <w:color w:val="000000"/>
          <w:lang w:eastAsia="fr-FR"/>
        </w:rPr>
        <w:t>dde</w:t>
      </w:r>
      <w:proofErr w:type="spellEnd"/>
      <w:r>
        <w:rPr>
          <w:rFonts w:eastAsia="Times New Roman" w:cs="Tahoma"/>
          <w:color w:val="000000"/>
          <w:lang w:eastAsia="fr-FR"/>
        </w:rPr>
        <w:t xml:space="preserve"> survie globale (OS)</w:t>
      </w:r>
    </w:p>
    <w:p w:rsidR="005432FE"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Pour rappel :</w:t>
      </w:r>
    </w:p>
    <w:p w:rsidR="00864B3B"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  La p</w:t>
      </w:r>
      <w:r w:rsidR="00EF21E1" w:rsidRPr="00EF21E1">
        <w:rPr>
          <w:rFonts w:eastAsia="Times New Roman" w:cs="Tahoma"/>
          <w:color w:val="000000"/>
          <w:lang w:eastAsia="fr-FR"/>
        </w:rPr>
        <w:t>remière analyse montrait allongement de la</w:t>
      </w:r>
      <w:r>
        <w:rPr>
          <w:rFonts w:eastAsia="Times New Roman" w:cs="Tahoma"/>
          <w:color w:val="000000"/>
          <w:lang w:eastAsia="fr-FR"/>
        </w:rPr>
        <w:t xml:space="preserve"> PFS avec l'ajout du </w:t>
      </w:r>
      <w:proofErr w:type="spellStart"/>
      <w:r>
        <w:rPr>
          <w:rFonts w:eastAsia="Times New Roman" w:cs="Tahoma"/>
          <w:color w:val="000000"/>
          <w:lang w:eastAsia="fr-FR"/>
        </w:rPr>
        <w:t>Ribociclib</w:t>
      </w:r>
      <w:proofErr w:type="spellEnd"/>
    </w:p>
    <w:p w:rsidR="009E2F0B" w:rsidRPr="00EF21E1"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  S</w:t>
      </w:r>
      <w:r w:rsidR="009E2F0B">
        <w:rPr>
          <w:rFonts w:eastAsia="Times New Roman" w:cs="Tahoma"/>
          <w:color w:val="000000"/>
          <w:lang w:eastAsia="fr-FR"/>
        </w:rPr>
        <w:t>eule l’étude MONALEESA 7</w:t>
      </w:r>
      <w:r>
        <w:rPr>
          <w:rFonts w:eastAsia="Times New Roman" w:cs="Tahoma"/>
          <w:color w:val="000000"/>
          <w:lang w:eastAsia="fr-FR"/>
        </w:rPr>
        <w:t xml:space="preserve"> avait montré un bénéfice en OS ; </w:t>
      </w:r>
      <w:r w:rsidR="009E2F0B">
        <w:rPr>
          <w:rFonts w:eastAsia="Times New Roman" w:cs="Tahoma"/>
          <w:color w:val="000000"/>
          <w:lang w:eastAsia="fr-FR"/>
        </w:rPr>
        <w:t xml:space="preserve"> et ce</w:t>
      </w:r>
      <w:r>
        <w:rPr>
          <w:rFonts w:eastAsia="Times New Roman" w:cs="Tahoma"/>
          <w:color w:val="000000"/>
          <w:lang w:eastAsia="fr-FR"/>
        </w:rPr>
        <w:t xml:space="preserve">, </w:t>
      </w:r>
      <w:r w:rsidR="009E2F0B">
        <w:rPr>
          <w:rFonts w:eastAsia="Times New Roman" w:cs="Tahoma"/>
          <w:color w:val="000000"/>
          <w:lang w:eastAsia="fr-FR"/>
        </w:rPr>
        <w:t xml:space="preserve"> chez les patientes en pré ou péri-ménopause. </w:t>
      </w:r>
    </w:p>
    <w:p w:rsidR="005432FE" w:rsidRDefault="005432FE" w:rsidP="00EF21E1">
      <w:pPr>
        <w:shd w:val="clear" w:color="auto" w:fill="FFFFFF"/>
        <w:spacing w:after="0" w:line="240" w:lineRule="auto"/>
        <w:rPr>
          <w:rFonts w:eastAsia="Times New Roman" w:cs="Tahoma"/>
          <w:color w:val="000000"/>
          <w:lang w:eastAsia="fr-FR"/>
        </w:rPr>
      </w:pPr>
    </w:p>
    <w:p w:rsidR="00EF21E1"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Ici : il s’agissait d’une étude</w:t>
      </w:r>
      <w:r w:rsidR="00EF21E1" w:rsidRPr="00EF21E1">
        <w:rPr>
          <w:rFonts w:eastAsia="Times New Roman" w:cs="Tahoma"/>
          <w:color w:val="000000"/>
          <w:lang w:eastAsia="fr-FR"/>
        </w:rPr>
        <w:t xml:space="preserve"> randomisée en double-aveugle </w:t>
      </w:r>
      <w:r w:rsidR="00864B3B" w:rsidRPr="00EF21E1">
        <w:rPr>
          <w:rFonts w:eastAsia="Times New Roman" w:cs="Tahoma"/>
          <w:color w:val="000000"/>
          <w:lang w:eastAsia="fr-FR"/>
        </w:rPr>
        <w:t>multicentrique</w:t>
      </w:r>
      <w:r w:rsidR="00864B3B">
        <w:rPr>
          <w:rFonts w:eastAsia="Times New Roman" w:cs="Tahoma"/>
          <w:color w:val="000000"/>
          <w:lang w:eastAsia="fr-FR"/>
        </w:rPr>
        <w:t xml:space="preserve">. </w:t>
      </w:r>
    </w:p>
    <w:p w:rsidR="00EF21E1" w:rsidRDefault="00EF21E1" w:rsidP="00EF21E1">
      <w:pPr>
        <w:shd w:val="clear" w:color="auto" w:fill="FFFFFF"/>
        <w:spacing w:after="0" w:line="240" w:lineRule="auto"/>
        <w:rPr>
          <w:rFonts w:eastAsia="Times New Roman" w:cs="Tahoma"/>
          <w:color w:val="000000"/>
          <w:lang w:eastAsia="fr-FR"/>
        </w:rPr>
      </w:pPr>
      <w:r w:rsidRPr="00EF21E1">
        <w:rPr>
          <w:rFonts w:eastAsia="Times New Roman" w:cs="Tahoma"/>
          <w:color w:val="000000"/>
          <w:lang w:eastAsia="fr-FR"/>
        </w:rPr>
        <w:t xml:space="preserve">Ratio 2:1, 484 patients dans le bras </w:t>
      </w:r>
      <w:proofErr w:type="spellStart"/>
      <w:r w:rsidRPr="00EF21E1">
        <w:rPr>
          <w:rFonts w:eastAsia="Times New Roman" w:cs="Tahoma"/>
          <w:color w:val="000000"/>
          <w:lang w:eastAsia="fr-FR"/>
        </w:rPr>
        <w:t>Ribociclib+Fulvestr</w:t>
      </w:r>
      <w:r w:rsidR="00864B3B">
        <w:rPr>
          <w:rFonts w:eastAsia="Times New Roman" w:cs="Tahoma"/>
          <w:color w:val="000000"/>
          <w:lang w:eastAsia="fr-FR"/>
        </w:rPr>
        <w:t>an</w:t>
      </w:r>
      <w:proofErr w:type="spellEnd"/>
      <w:r w:rsidR="00864B3B">
        <w:rPr>
          <w:rFonts w:eastAsia="Times New Roman" w:cs="Tahoma"/>
          <w:color w:val="000000"/>
          <w:lang w:eastAsia="fr-FR"/>
        </w:rPr>
        <w:t xml:space="preserve">, 242 patientes dans le bras </w:t>
      </w:r>
      <w:proofErr w:type="spellStart"/>
      <w:r w:rsidR="00864B3B">
        <w:rPr>
          <w:rFonts w:eastAsia="Times New Roman" w:cs="Tahoma"/>
          <w:color w:val="000000"/>
          <w:lang w:eastAsia="fr-FR"/>
        </w:rPr>
        <w:t>P</w:t>
      </w:r>
      <w:r w:rsidRPr="00EF21E1">
        <w:rPr>
          <w:rFonts w:eastAsia="Times New Roman" w:cs="Tahoma"/>
          <w:color w:val="000000"/>
          <w:lang w:eastAsia="fr-FR"/>
        </w:rPr>
        <w:t>lacebo+Fulvestran</w:t>
      </w:r>
      <w:proofErr w:type="spellEnd"/>
      <w:r w:rsidRPr="00EF21E1">
        <w:rPr>
          <w:rFonts w:eastAsia="Times New Roman" w:cs="Tahoma"/>
          <w:color w:val="000000"/>
          <w:lang w:eastAsia="fr-FR"/>
        </w:rPr>
        <w:t> </w:t>
      </w:r>
    </w:p>
    <w:p w:rsidR="00864B3B"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A noter que les c</w:t>
      </w:r>
      <w:r w:rsidR="00864B3B">
        <w:rPr>
          <w:rFonts w:eastAsia="Times New Roman" w:cs="Tahoma"/>
          <w:color w:val="000000"/>
          <w:lang w:eastAsia="fr-FR"/>
        </w:rPr>
        <w:t>ross-over</w:t>
      </w:r>
      <w:r>
        <w:rPr>
          <w:rFonts w:eastAsia="Times New Roman" w:cs="Tahoma"/>
          <w:color w:val="000000"/>
          <w:lang w:eastAsia="fr-FR"/>
        </w:rPr>
        <w:t xml:space="preserve"> n’étaient pas</w:t>
      </w:r>
      <w:r w:rsidR="00864B3B">
        <w:rPr>
          <w:rFonts w:eastAsia="Times New Roman" w:cs="Tahoma"/>
          <w:color w:val="000000"/>
          <w:lang w:eastAsia="fr-FR"/>
        </w:rPr>
        <w:t xml:space="preserve"> autorisés. </w:t>
      </w:r>
    </w:p>
    <w:p w:rsidR="00864B3B" w:rsidRPr="00EF21E1" w:rsidRDefault="00864B3B" w:rsidP="00EF21E1">
      <w:pPr>
        <w:shd w:val="clear" w:color="auto" w:fill="FFFFFF"/>
        <w:spacing w:after="0" w:line="240" w:lineRule="auto"/>
        <w:rPr>
          <w:rFonts w:eastAsia="Times New Roman" w:cs="Tahoma"/>
          <w:color w:val="000000"/>
          <w:lang w:eastAsia="fr-FR"/>
        </w:rPr>
      </w:pPr>
    </w:p>
    <w:p w:rsidR="005432FE"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Résultats :</w:t>
      </w:r>
    </w:p>
    <w:p w:rsidR="00EF21E1" w:rsidRPr="005432FE" w:rsidRDefault="005432FE" w:rsidP="005432FE">
      <w:pPr>
        <w:pStyle w:val="Paragraphedeliste"/>
        <w:numPr>
          <w:ilvl w:val="0"/>
          <w:numId w:val="4"/>
        </w:numPr>
        <w:shd w:val="clear" w:color="auto" w:fill="FFFFFF"/>
        <w:spacing w:after="0" w:line="240" w:lineRule="auto"/>
        <w:rPr>
          <w:rFonts w:eastAsia="Times New Roman" w:cs="Tahoma"/>
          <w:color w:val="000000"/>
          <w:lang w:eastAsia="fr-FR"/>
        </w:rPr>
      </w:pPr>
      <w:r w:rsidRPr="005432FE">
        <w:rPr>
          <w:rFonts w:eastAsia="Times New Roman" w:cs="Tahoma"/>
          <w:color w:val="000000"/>
          <w:lang w:eastAsia="fr-FR"/>
        </w:rPr>
        <w:t xml:space="preserve"> b</w:t>
      </w:r>
      <w:r w:rsidR="00EF21E1" w:rsidRPr="005432FE">
        <w:rPr>
          <w:rFonts w:eastAsia="Times New Roman" w:cs="Tahoma"/>
          <w:color w:val="000000"/>
          <w:lang w:eastAsia="fr-FR"/>
        </w:rPr>
        <w:t xml:space="preserve">énéfice significatif en OS en faveur du </w:t>
      </w:r>
      <w:proofErr w:type="spellStart"/>
      <w:r w:rsidR="00EF21E1" w:rsidRPr="005432FE">
        <w:rPr>
          <w:rFonts w:eastAsia="Times New Roman" w:cs="Tahoma"/>
          <w:color w:val="000000"/>
          <w:lang w:eastAsia="fr-FR"/>
        </w:rPr>
        <w:t>Ribociclib</w:t>
      </w:r>
      <w:proofErr w:type="spellEnd"/>
      <w:r w:rsidR="00EF21E1" w:rsidRPr="005432FE">
        <w:rPr>
          <w:rFonts w:eastAsia="Times New Roman" w:cs="Tahoma"/>
          <w:color w:val="000000"/>
          <w:lang w:eastAsia="fr-FR"/>
        </w:rPr>
        <w:t xml:space="preserve"> :</w:t>
      </w:r>
    </w:p>
    <w:p w:rsidR="00EF21E1" w:rsidRPr="00EF21E1"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L’</w:t>
      </w:r>
      <w:r w:rsidR="00EF21E1" w:rsidRPr="00EF21E1">
        <w:rPr>
          <w:rFonts w:eastAsia="Times New Roman" w:cs="Tahoma"/>
          <w:color w:val="000000"/>
          <w:lang w:eastAsia="fr-FR"/>
        </w:rPr>
        <w:t>OS estimé</w:t>
      </w:r>
      <w:r w:rsidR="00864B3B">
        <w:rPr>
          <w:rFonts w:eastAsia="Times New Roman" w:cs="Tahoma"/>
          <w:color w:val="000000"/>
          <w:lang w:eastAsia="fr-FR"/>
        </w:rPr>
        <w:t>e</w:t>
      </w:r>
      <w:r w:rsidR="00EF21E1" w:rsidRPr="00EF21E1">
        <w:rPr>
          <w:rFonts w:eastAsia="Times New Roman" w:cs="Tahoma"/>
          <w:color w:val="000000"/>
          <w:lang w:eastAsia="fr-FR"/>
        </w:rPr>
        <w:t xml:space="preserve"> à 42 mois est de 57,8% pour le </w:t>
      </w:r>
      <w:proofErr w:type="spellStart"/>
      <w:r w:rsidR="00EF21E1" w:rsidRPr="00EF21E1">
        <w:rPr>
          <w:rFonts w:eastAsia="Times New Roman" w:cs="Tahoma"/>
          <w:color w:val="000000"/>
          <w:lang w:eastAsia="fr-FR"/>
        </w:rPr>
        <w:t>Ribociclib</w:t>
      </w:r>
      <w:proofErr w:type="spellEnd"/>
      <w:r w:rsidR="00EF21E1" w:rsidRPr="00EF21E1">
        <w:rPr>
          <w:rFonts w:eastAsia="Times New Roman" w:cs="Tahoma"/>
          <w:color w:val="000000"/>
          <w:lang w:eastAsia="fr-FR"/>
        </w:rPr>
        <w:t xml:space="preserve"> et de 45.9% pour le placebo (HR 0.72, p = 0,00455)</w:t>
      </w:r>
    </w:p>
    <w:p w:rsidR="00EF21E1" w:rsidRPr="00EF21E1" w:rsidRDefault="005432FE"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Ce b</w:t>
      </w:r>
      <w:r w:rsidR="00EF21E1" w:rsidRPr="00EF21E1">
        <w:rPr>
          <w:rFonts w:eastAsia="Times New Roman" w:cs="Tahoma"/>
          <w:color w:val="000000"/>
          <w:lang w:eastAsia="fr-FR"/>
        </w:rPr>
        <w:t xml:space="preserve">énéfice </w:t>
      </w:r>
      <w:r>
        <w:rPr>
          <w:rFonts w:eastAsia="Times New Roman" w:cs="Tahoma"/>
          <w:color w:val="000000"/>
          <w:lang w:eastAsia="fr-FR"/>
        </w:rPr>
        <w:t xml:space="preserve">est </w:t>
      </w:r>
      <w:r w:rsidR="00EF21E1" w:rsidRPr="00EF21E1">
        <w:rPr>
          <w:rFonts w:eastAsia="Times New Roman" w:cs="Tahoma"/>
          <w:color w:val="000000"/>
          <w:lang w:eastAsia="fr-FR"/>
        </w:rPr>
        <w:t>retrouvé dans les différents sous-groupes</w:t>
      </w:r>
    </w:p>
    <w:p w:rsidR="00EF21E1" w:rsidRPr="005432FE" w:rsidRDefault="005432FE" w:rsidP="005432FE">
      <w:pPr>
        <w:pStyle w:val="Paragraphedeliste"/>
        <w:numPr>
          <w:ilvl w:val="0"/>
          <w:numId w:val="4"/>
        </w:numPr>
        <w:shd w:val="clear" w:color="auto" w:fill="FFFFFF"/>
        <w:spacing w:after="0" w:line="240" w:lineRule="auto"/>
        <w:rPr>
          <w:rFonts w:eastAsia="Times New Roman" w:cs="Tahoma"/>
          <w:color w:val="000000"/>
          <w:lang w:eastAsia="fr-FR"/>
        </w:rPr>
      </w:pPr>
      <w:r>
        <w:rPr>
          <w:rFonts w:eastAsia="Times New Roman" w:cs="Tahoma"/>
          <w:color w:val="000000"/>
          <w:lang w:eastAsia="fr-FR"/>
        </w:rPr>
        <w:t xml:space="preserve">Mise à jour des données de </w:t>
      </w:r>
      <w:r w:rsidR="00EF21E1" w:rsidRPr="005432FE">
        <w:rPr>
          <w:rFonts w:eastAsia="Times New Roman" w:cs="Tahoma"/>
          <w:color w:val="000000"/>
          <w:lang w:eastAsia="fr-FR"/>
        </w:rPr>
        <w:t xml:space="preserve"> PFS en 1e ligne : 33,6 mois pour </w:t>
      </w:r>
      <w:proofErr w:type="spellStart"/>
      <w:r w:rsidR="00EF21E1" w:rsidRPr="005432FE">
        <w:rPr>
          <w:rFonts w:eastAsia="Times New Roman" w:cs="Tahoma"/>
          <w:color w:val="000000"/>
          <w:lang w:eastAsia="fr-FR"/>
        </w:rPr>
        <w:t>Ribociclib</w:t>
      </w:r>
      <w:proofErr w:type="spellEnd"/>
      <w:r w:rsidR="00EF21E1" w:rsidRPr="005432FE">
        <w:rPr>
          <w:rFonts w:eastAsia="Times New Roman" w:cs="Tahoma"/>
          <w:color w:val="000000"/>
          <w:lang w:eastAsia="fr-FR"/>
        </w:rPr>
        <w:t>, 19,2 mois pour placebo</w:t>
      </w:r>
    </w:p>
    <w:p w:rsidR="00864B3B" w:rsidRPr="005432FE" w:rsidRDefault="00864B3B" w:rsidP="005432FE">
      <w:pPr>
        <w:pStyle w:val="Paragraphedeliste"/>
        <w:numPr>
          <w:ilvl w:val="0"/>
          <w:numId w:val="4"/>
        </w:numPr>
        <w:shd w:val="clear" w:color="auto" w:fill="FFFFFF"/>
        <w:spacing w:after="0" w:line="240" w:lineRule="auto"/>
        <w:rPr>
          <w:rFonts w:eastAsia="Times New Roman" w:cs="Tahoma"/>
          <w:color w:val="000000"/>
          <w:lang w:eastAsia="fr-FR"/>
        </w:rPr>
      </w:pPr>
      <w:r w:rsidRPr="005432FE">
        <w:rPr>
          <w:rFonts w:eastAsia="Times New Roman" w:cs="Tahoma"/>
          <w:color w:val="000000"/>
          <w:lang w:eastAsia="fr-FR"/>
        </w:rPr>
        <w:t xml:space="preserve">Effets secondaires principaux : neutropénie, toxicité </w:t>
      </w:r>
      <w:proofErr w:type="spellStart"/>
      <w:r w:rsidRPr="005432FE">
        <w:rPr>
          <w:rFonts w:eastAsia="Times New Roman" w:cs="Tahoma"/>
          <w:color w:val="000000"/>
          <w:lang w:eastAsia="fr-FR"/>
        </w:rPr>
        <w:t>hépato-biliaire</w:t>
      </w:r>
      <w:proofErr w:type="spellEnd"/>
      <w:r w:rsidRPr="005432FE">
        <w:rPr>
          <w:rFonts w:eastAsia="Times New Roman" w:cs="Tahoma"/>
          <w:color w:val="000000"/>
          <w:lang w:eastAsia="fr-FR"/>
        </w:rPr>
        <w:t xml:space="preserve">, allongement du QT. </w:t>
      </w:r>
    </w:p>
    <w:p w:rsidR="00864B3B" w:rsidRDefault="00864B3B" w:rsidP="00EF21E1">
      <w:pPr>
        <w:shd w:val="clear" w:color="auto" w:fill="FFFFFF"/>
        <w:spacing w:after="0" w:line="240" w:lineRule="auto"/>
        <w:rPr>
          <w:rFonts w:eastAsia="Times New Roman" w:cs="Tahoma"/>
          <w:color w:val="000000"/>
          <w:lang w:eastAsia="fr-FR"/>
        </w:rPr>
      </w:pPr>
    </w:p>
    <w:p w:rsidR="00864B3B" w:rsidRDefault="00864B3B" w:rsidP="00EF21E1">
      <w:pPr>
        <w:shd w:val="clear" w:color="auto" w:fill="FFFFFF"/>
        <w:spacing w:after="0" w:line="240" w:lineRule="auto"/>
        <w:rPr>
          <w:rFonts w:eastAsia="Times New Roman" w:cs="Tahoma"/>
          <w:color w:val="000000"/>
          <w:lang w:eastAsia="fr-FR"/>
        </w:rPr>
      </w:pPr>
      <w:r>
        <w:rPr>
          <w:rFonts w:eastAsia="Times New Roman" w:cs="Tahoma"/>
          <w:color w:val="000000"/>
          <w:lang w:eastAsia="fr-FR"/>
        </w:rPr>
        <w:t xml:space="preserve">Commentaires : </w:t>
      </w:r>
    </w:p>
    <w:p w:rsidR="00864B3B" w:rsidRDefault="00864B3B" w:rsidP="00864B3B">
      <w:pPr>
        <w:pStyle w:val="Paragraphedeliste"/>
        <w:numPr>
          <w:ilvl w:val="0"/>
          <w:numId w:val="2"/>
        </w:numPr>
        <w:shd w:val="clear" w:color="auto" w:fill="FFFFFF"/>
        <w:spacing w:after="0" w:line="240" w:lineRule="auto"/>
        <w:rPr>
          <w:rFonts w:eastAsia="Times New Roman" w:cs="Tahoma"/>
          <w:color w:val="000000"/>
          <w:lang w:eastAsia="fr-FR"/>
        </w:rPr>
      </w:pPr>
      <w:r>
        <w:rPr>
          <w:rFonts w:eastAsia="Times New Roman" w:cs="Tahoma"/>
          <w:color w:val="000000"/>
          <w:lang w:eastAsia="fr-FR"/>
        </w:rPr>
        <w:t>Pas de cross over possible, seules 25 % des patientes du groupe contrôle recevait un inhibiteur de CDK4/6</w:t>
      </w:r>
    </w:p>
    <w:p w:rsidR="005432FE" w:rsidRDefault="005432FE" w:rsidP="00864B3B">
      <w:pPr>
        <w:pStyle w:val="Paragraphedeliste"/>
        <w:numPr>
          <w:ilvl w:val="0"/>
          <w:numId w:val="2"/>
        </w:numPr>
        <w:shd w:val="clear" w:color="auto" w:fill="FFFFFF"/>
        <w:spacing w:after="0" w:line="240" w:lineRule="auto"/>
        <w:rPr>
          <w:rFonts w:eastAsia="Times New Roman" w:cs="Tahoma"/>
          <w:color w:val="000000"/>
          <w:lang w:eastAsia="fr-FR"/>
        </w:rPr>
      </w:pPr>
      <w:r>
        <w:rPr>
          <w:rFonts w:eastAsia="Times New Roman" w:cs="Tahoma"/>
          <w:color w:val="000000"/>
          <w:lang w:eastAsia="fr-FR"/>
        </w:rPr>
        <w:t xml:space="preserve">11 % des patientes dans le bras </w:t>
      </w:r>
      <w:proofErr w:type="spellStart"/>
      <w:r>
        <w:rPr>
          <w:rFonts w:eastAsia="Times New Roman" w:cs="Tahoma"/>
          <w:color w:val="000000"/>
          <w:lang w:eastAsia="fr-FR"/>
        </w:rPr>
        <w:t>Ribociclib</w:t>
      </w:r>
      <w:proofErr w:type="spellEnd"/>
      <w:r>
        <w:rPr>
          <w:rFonts w:eastAsia="Times New Roman" w:cs="Tahoma"/>
          <w:color w:val="000000"/>
          <w:lang w:eastAsia="fr-FR"/>
        </w:rPr>
        <w:t xml:space="preserve"> recevaient un autre inhibiteur de CDK4/6 dans leur histoire oncologique. Quelle efficacité de ces traitements en « </w:t>
      </w:r>
      <w:proofErr w:type="spellStart"/>
      <w:r>
        <w:rPr>
          <w:rFonts w:eastAsia="Times New Roman" w:cs="Tahoma"/>
          <w:color w:val="000000"/>
          <w:lang w:eastAsia="fr-FR"/>
        </w:rPr>
        <w:t>re</w:t>
      </w:r>
      <w:proofErr w:type="spellEnd"/>
      <w:r>
        <w:rPr>
          <w:rFonts w:eastAsia="Times New Roman" w:cs="Tahoma"/>
          <w:color w:val="000000"/>
          <w:lang w:eastAsia="fr-FR"/>
        </w:rPr>
        <w:t xml:space="preserve">-challenge ? » </w:t>
      </w:r>
    </w:p>
    <w:p w:rsidR="005432FE" w:rsidRDefault="005432FE" w:rsidP="005432FE">
      <w:pPr>
        <w:pStyle w:val="Paragraphedeliste"/>
        <w:shd w:val="clear" w:color="auto" w:fill="FFFFFF"/>
        <w:spacing w:after="0" w:line="240" w:lineRule="auto"/>
        <w:rPr>
          <w:rFonts w:eastAsia="Times New Roman" w:cs="Tahoma"/>
          <w:color w:val="000000"/>
          <w:lang w:eastAsia="fr-FR"/>
        </w:rPr>
      </w:pPr>
    </w:p>
    <w:p w:rsidR="00192C45" w:rsidRPr="00192C45" w:rsidRDefault="00192C45" w:rsidP="00192C45">
      <w:pPr>
        <w:shd w:val="clear" w:color="auto" w:fill="FFFFFF"/>
        <w:spacing w:after="0" w:line="240" w:lineRule="auto"/>
        <w:rPr>
          <w:rFonts w:eastAsia="Times New Roman" w:cs="Tahoma"/>
          <w:color w:val="000000"/>
          <w:lang w:eastAsia="fr-FR"/>
        </w:rPr>
      </w:pPr>
    </w:p>
    <w:p w:rsidR="006340E1" w:rsidRPr="006340E1" w:rsidRDefault="006340E1" w:rsidP="006340E1">
      <w:pPr>
        <w:shd w:val="clear" w:color="auto" w:fill="FFFFFF"/>
        <w:spacing w:after="0" w:line="240" w:lineRule="auto"/>
        <w:ind w:left="360"/>
        <w:rPr>
          <w:rFonts w:eastAsia="Times New Roman" w:cs="Tahoma"/>
          <w:color w:val="000000"/>
          <w:lang w:eastAsia="fr-FR"/>
        </w:rPr>
      </w:pPr>
    </w:p>
    <w:p w:rsidR="00BD02A6" w:rsidRDefault="00BD02A6" w:rsidP="00744156">
      <w:pPr>
        <w:rPr>
          <w:b/>
        </w:rPr>
      </w:pPr>
    </w:p>
    <w:p w:rsidR="005432FE" w:rsidRDefault="005432FE" w:rsidP="00744156">
      <w:pPr>
        <w:rPr>
          <w:b/>
        </w:rPr>
      </w:pPr>
    </w:p>
    <w:p w:rsidR="005432FE" w:rsidRDefault="005432FE" w:rsidP="00744156">
      <w:pPr>
        <w:rPr>
          <w:b/>
        </w:rPr>
      </w:pPr>
    </w:p>
    <w:p w:rsidR="005432FE" w:rsidRDefault="005432FE" w:rsidP="00744156">
      <w:pPr>
        <w:rPr>
          <w:b/>
        </w:rPr>
      </w:pPr>
    </w:p>
    <w:p w:rsidR="005432FE" w:rsidRDefault="005432FE" w:rsidP="00744156">
      <w:pPr>
        <w:rPr>
          <w:b/>
        </w:rPr>
      </w:pPr>
    </w:p>
    <w:p w:rsidR="005432FE" w:rsidRDefault="005432FE" w:rsidP="00744156">
      <w:pPr>
        <w:rPr>
          <w:b/>
        </w:rPr>
      </w:pPr>
    </w:p>
    <w:p w:rsidR="005432FE" w:rsidRDefault="005432FE" w:rsidP="00744156">
      <w:pPr>
        <w:rPr>
          <w:b/>
        </w:rPr>
      </w:pPr>
    </w:p>
    <w:p w:rsidR="005432FE" w:rsidRDefault="005432FE" w:rsidP="00744156">
      <w:pPr>
        <w:rPr>
          <w:b/>
        </w:rPr>
      </w:pPr>
    </w:p>
    <w:p w:rsidR="005432FE" w:rsidRDefault="005432FE" w:rsidP="00744156">
      <w:pPr>
        <w:rPr>
          <w:b/>
        </w:rPr>
      </w:pPr>
    </w:p>
    <w:p w:rsidR="005432FE" w:rsidRDefault="005432FE" w:rsidP="00744156">
      <w:pPr>
        <w:rPr>
          <w:b/>
        </w:rPr>
      </w:pPr>
    </w:p>
    <w:p w:rsidR="00BD02A6" w:rsidRDefault="00BD02A6" w:rsidP="00744156">
      <w:pPr>
        <w:rPr>
          <w:b/>
        </w:rPr>
      </w:pPr>
      <w:r>
        <w:rPr>
          <w:b/>
        </w:rPr>
        <w:t>Eliott :</w:t>
      </w:r>
    </w:p>
    <w:p w:rsidR="00FE729D" w:rsidRPr="005C5CB5" w:rsidRDefault="00BD02A6" w:rsidP="005C5CB5">
      <w:pPr>
        <w:rPr>
          <w:lang w:val="en-US"/>
        </w:rPr>
      </w:pPr>
      <w:r w:rsidRPr="005C5CB5">
        <w:rPr>
          <w:b/>
          <w:u w:val="single"/>
          <w:lang w:val="en-US"/>
        </w:rPr>
        <w:t>Lancet </w:t>
      </w:r>
      <w:proofErr w:type="gramStart"/>
      <w:r w:rsidR="00FE729D" w:rsidRPr="005C5CB5">
        <w:rPr>
          <w:b/>
          <w:u w:val="single"/>
          <w:lang w:val="en-US"/>
        </w:rPr>
        <w:t>oncology</w:t>
      </w:r>
      <w:r w:rsidR="00FE729D" w:rsidRPr="005C5CB5">
        <w:rPr>
          <w:b/>
          <w:lang w:val="en-US"/>
        </w:rPr>
        <w:t> :</w:t>
      </w:r>
      <w:proofErr w:type="gramEnd"/>
      <w:r w:rsidR="00FE729D" w:rsidRPr="005C5CB5">
        <w:rPr>
          <w:b/>
          <w:lang w:val="en-US"/>
        </w:rPr>
        <w:t xml:space="preserve"> </w:t>
      </w:r>
      <w:r w:rsidR="005C5CB5" w:rsidRPr="005C5CB5">
        <w:rPr>
          <w:b/>
          <w:lang w:val="en-US"/>
        </w:rPr>
        <w:t>Radiation</w:t>
      </w:r>
      <w:r w:rsidR="005C5CB5">
        <w:rPr>
          <w:b/>
          <w:lang w:val="en-US"/>
        </w:rPr>
        <w:t>-induc</w:t>
      </w:r>
      <w:r w:rsidR="005C5CB5" w:rsidRPr="005C5CB5">
        <w:rPr>
          <w:b/>
          <w:lang w:val="en-US"/>
        </w:rPr>
        <w:t xml:space="preserve">ed cystitis with hyperbaric oxygen therapy (RICH-ART) : a </w:t>
      </w:r>
      <w:proofErr w:type="spellStart"/>
      <w:r w:rsidR="005C5CB5" w:rsidRPr="005C5CB5">
        <w:rPr>
          <w:b/>
          <w:lang w:val="en-US"/>
        </w:rPr>
        <w:t>randomised</w:t>
      </w:r>
      <w:proofErr w:type="spellEnd"/>
      <w:r w:rsidR="005C5CB5" w:rsidRPr="005C5CB5">
        <w:rPr>
          <w:b/>
          <w:lang w:val="en-US"/>
        </w:rPr>
        <w:t xml:space="preserve">, controlled, phase 2-3 trial. </w:t>
      </w:r>
    </w:p>
    <w:p w:rsidR="00FE729D" w:rsidRPr="005C5CB5" w:rsidRDefault="00FE729D" w:rsidP="00FE729D">
      <w:pPr>
        <w:spacing w:after="0"/>
        <w:rPr>
          <w:lang w:val="en-US"/>
        </w:rPr>
      </w:pPr>
    </w:p>
    <w:p w:rsidR="00FE729D" w:rsidRDefault="00FE729D" w:rsidP="00FE729D">
      <w:pPr>
        <w:spacing w:after="0"/>
      </w:pPr>
      <w:r>
        <w:t>Comment gérer les toxicités vésicales sévères secondaires à la radiothérapie</w:t>
      </w:r>
      <w:r w:rsidR="005C5CB5">
        <w:t> (Irradiation des cancers de p</w:t>
      </w:r>
      <w:r w:rsidR="00BA2195">
        <w:t>rostate</w:t>
      </w:r>
      <w:r>
        <w:t>,</w:t>
      </w:r>
      <w:r w:rsidR="005C5CB5">
        <w:t xml:space="preserve"> du</w:t>
      </w:r>
      <w:r>
        <w:t xml:space="preserve"> rectum,</w:t>
      </w:r>
      <w:r w:rsidR="005C5CB5">
        <w:t xml:space="preserve"> du</w:t>
      </w:r>
      <w:r>
        <w:t xml:space="preserve"> col</w:t>
      </w:r>
      <w:r w:rsidR="005C5CB5">
        <w:t xml:space="preserve"> utérin</w:t>
      </w:r>
      <w:r>
        <w:t>…)</w:t>
      </w:r>
      <w:r w:rsidR="005C5CB5">
        <w:t xml:space="preserve"> ? </w:t>
      </w:r>
    </w:p>
    <w:p w:rsidR="005C5CB5" w:rsidRDefault="005C5CB5" w:rsidP="00FE729D">
      <w:pPr>
        <w:spacing w:after="0"/>
      </w:pPr>
      <w:r>
        <w:t xml:space="preserve">Les atteintes, et notamment les saignements, sont beaucoup plus diffus que dans les rectites </w:t>
      </w:r>
      <w:proofErr w:type="spellStart"/>
      <w:r>
        <w:t>radiques</w:t>
      </w:r>
      <w:proofErr w:type="spellEnd"/>
      <w:r>
        <w:t xml:space="preserve">, ce qui rend moins facile et efficace l’utilisation de traitements locaux. </w:t>
      </w:r>
    </w:p>
    <w:p w:rsidR="005C5CB5" w:rsidRDefault="005C5CB5" w:rsidP="005C5CB5">
      <w:pPr>
        <w:spacing w:after="0"/>
      </w:pPr>
      <w:r>
        <w:t xml:space="preserve">Dans cet essai, on utilise l’oxygénothérapie hyperbare chez des patients ayant des symptômes de grade 3 ou plus (cystite irritative ou saignements)  </w:t>
      </w:r>
    </w:p>
    <w:p w:rsidR="005C5CB5" w:rsidRDefault="005C5CB5" w:rsidP="005C5CB5">
      <w:pPr>
        <w:spacing w:after="0"/>
      </w:pPr>
      <w:r>
        <w:t xml:space="preserve">Le traitement est fait en 40 séances sur 6 semaines (1h30 par jour) </w:t>
      </w:r>
    </w:p>
    <w:p w:rsidR="00BA2195" w:rsidRDefault="00BA2195" w:rsidP="00FE729D">
      <w:pPr>
        <w:spacing w:after="0"/>
      </w:pPr>
      <w:r>
        <w:t xml:space="preserve">Rationnel : les dégâts vésicaux sont </w:t>
      </w:r>
      <w:proofErr w:type="gramStart"/>
      <w:r>
        <w:t>dues</w:t>
      </w:r>
      <w:proofErr w:type="gramEnd"/>
      <w:r>
        <w:t xml:space="preserve"> à des micro-thromboses </w:t>
      </w:r>
      <w:r w:rsidR="005C5CB5">
        <w:t xml:space="preserve"> avec rôle de l’</w:t>
      </w:r>
      <w:r>
        <w:t xml:space="preserve">hypoxie </w:t>
      </w:r>
      <w:r w:rsidR="005C5CB5">
        <w:t xml:space="preserve">dans les lésions et leur entretien. </w:t>
      </w:r>
    </w:p>
    <w:p w:rsidR="00FE729D" w:rsidRDefault="005C5CB5" w:rsidP="00FE729D">
      <w:pPr>
        <w:spacing w:after="0"/>
      </w:pPr>
      <w:r>
        <w:t>Les résultats sont concluants : on g</w:t>
      </w:r>
      <w:r w:rsidR="00FE729D">
        <w:t xml:space="preserve">agne un grade de CTCAE en moyenne. </w:t>
      </w:r>
    </w:p>
    <w:p w:rsidR="005C5CB5" w:rsidRDefault="005C5CB5" w:rsidP="00FE729D">
      <w:pPr>
        <w:spacing w:after="0"/>
      </w:pPr>
      <w:r>
        <w:t xml:space="preserve">L’essai est évidemment en ouvert. </w:t>
      </w:r>
    </w:p>
    <w:p w:rsidR="005C5CB5" w:rsidRDefault="005C5CB5" w:rsidP="00FE729D">
      <w:pPr>
        <w:spacing w:after="0"/>
      </w:pPr>
      <w:proofErr w:type="gramStart"/>
      <w:r>
        <w:t>Remarques</w:t>
      </w:r>
      <w:proofErr w:type="gramEnd"/>
      <w:r>
        <w:t xml:space="preserve"> : </w:t>
      </w:r>
    </w:p>
    <w:p w:rsidR="00FE729D" w:rsidRDefault="005C5CB5" w:rsidP="00FE729D">
      <w:pPr>
        <w:spacing w:after="0"/>
      </w:pPr>
      <w:r>
        <w:t>Dans cette é</w:t>
      </w:r>
      <w:r w:rsidR="00FE729D">
        <w:t>tude</w:t>
      </w:r>
      <w:r>
        <w:t>, il est relevé</w:t>
      </w:r>
      <w:r w:rsidR="00FE729D">
        <w:t xml:space="preserve"> 15 à 20 % de cystite</w:t>
      </w:r>
      <w:r>
        <w:t xml:space="preserve">s </w:t>
      </w:r>
      <w:proofErr w:type="spellStart"/>
      <w:r>
        <w:t>radiques</w:t>
      </w:r>
      <w:proofErr w:type="spellEnd"/>
      <w:r>
        <w:t>, en lien avec les techniques de radiothérapie utilisées </w:t>
      </w:r>
      <w:r w:rsidR="00FE729D">
        <w:t xml:space="preserve"> (2D ou 3D champs fixes) </w:t>
      </w:r>
    </w:p>
    <w:p w:rsidR="00FE729D" w:rsidRDefault="005C5CB5" w:rsidP="00FE729D">
      <w:pPr>
        <w:spacing w:after="0"/>
      </w:pPr>
      <w:r>
        <w:t>Aujourd’hui on n’observe plus ces taux</w:t>
      </w:r>
      <w:r w:rsidR="00FE729D">
        <w:t xml:space="preserve"> </w:t>
      </w:r>
      <w:proofErr w:type="gramStart"/>
      <w:r w:rsidR="00FE729D">
        <w:t>(</w:t>
      </w:r>
      <w:r w:rsidR="005432FE">
        <w:t xml:space="preserve"> dans</w:t>
      </w:r>
      <w:proofErr w:type="gramEnd"/>
      <w:r w:rsidR="005432FE">
        <w:t xml:space="preserve"> les </w:t>
      </w:r>
      <w:r w:rsidR="00FE729D">
        <w:t xml:space="preserve">derniers essais </w:t>
      </w:r>
      <w:r w:rsidR="005432FE">
        <w:t xml:space="preserve">de radiothérapie </w:t>
      </w:r>
      <w:r w:rsidR="00FE729D">
        <w:t>stéréo</w:t>
      </w:r>
      <w:r w:rsidR="005432FE">
        <w:t>taxique dans le cancer de la prostate</w:t>
      </w:r>
      <w:r w:rsidR="00FE729D">
        <w:t xml:space="preserve"> : 1 à 2 %) </w:t>
      </w:r>
    </w:p>
    <w:p w:rsidR="005432FE" w:rsidRDefault="005432FE" w:rsidP="00FE729D">
      <w:pPr>
        <w:spacing w:after="0"/>
      </w:pPr>
    </w:p>
    <w:p w:rsidR="005432FE" w:rsidRDefault="005432FE" w:rsidP="00FE729D">
      <w:pPr>
        <w:spacing w:after="0"/>
      </w:pPr>
      <w:r>
        <w:t xml:space="preserve">Le traitement par oxygénothérapie reste quand même lourd et contraignant et est peu accessible en France. </w:t>
      </w:r>
    </w:p>
    <w:p w:rsidR="005432FE" w:rsidRPr="00FE729D" w:rsidRDefault="005432FE" w:rsidP="00FE729D">
      <w:pPr>
        <w:spacing w:after="0"/>
      </w:pPr>
      <w:r>
        <w:t xml:space="preserve">Mais il peut devenir une option dans les situations vraiment complexes. </w:t>
      </w:r>
    </w:p>
    <w:p w:rsidR="000D3E88" w:rsidRPr="002D5A1A" w:rsidRDefault="000D3E88" w:rsidP="00744156">
      <w:pPr>
        <w:rPr>
          <w:b/>
        </w:rPr>
      </w:pPr>
    </w:p>
    <w:p w:rsidR="000D3E88" w:rsidRPr="002D5A1A" w:rsidRDefault="000D3E88" w:rsidP="00744156">
      <w:pPr>
        <w:rPr>
          <w:b/>
        </w:rPr>
      </w:pPr>
    </w:p>
    <w:p w:rsidR="000D3E88" w:rsidRDefault="000D3E88" w:rsidP="00744156">
      <w:pPr>
        <w:rPr>
          <w:b/>
        </w:rPr>
      </w:pPr>
      <w:r>
        <w:rPr>
          <w:b/>
        </w:rPr>
        <w:t xml:space="preserve">Intéressé par la revue de presse ? N’hésite pas à contacter l’AERIO. </w:t>
      </w:r>
    </w:p>
    <w:p w:rsidR="000D3E88" w:rsidRPr="00D61621" w:rsidRDefault="000D3E88" w:rsidP="00744156">
      <w:pPr>
        <w:rPr>
          <w:b/>
        </w:rPr>
      </w:pPr>
      <w:r>
        <w:rPr>
          <w:b/>
        </w:rPr>
        <w:t xml:space="preserve">A bientôt ! </w:t>
      </w:r>
    </w:p>
    <w:sectPr w:rsidR="000D3E88" w:rsidRPr="00D6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 w:name="GuardianSans-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A8E"/>
    <w:multiLevelType w:val="hybridMultilevel"/>
    <w:tmpl w:val="97CE1E72"/>
    <w:lvl w:ilvl="0" w:tplc="6E88B20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8B6C7E"/>
    <w:multiLevelType w:val="hybridMultilevel"/>
    <w:tmpl w:val="D3C6F424"/>
    <w:lvl w:ilvl="0" w:tplc="1902C666">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49D37118"/>
    <w:multiLevelType w:val="hybridMultilevel"/>
    <w:tmpl w:val="9E8E5E96"/>
    <w:lvl w:ilvl="0" w:tplc="2DACADB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2954A5"/>
    <w:multiLevelType w:val="hybridMultilevel"/>
    <w:tmpl w:val="8E3AF180"/>
    <w:lvl w:ilvl="0" w:tplc="F9EC7F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9E07BD"/>
    <w:multiLevelType w:val="hybridMultilevel"/>
    <w:tmpl w:val="125244EC"/>
    <w:lvl w:ilvl="0" w:tplc="BA18C5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56"/>
    <w:rsid w:val="000519D8"/>
    <w:rsid w:val="000A38F7"/>
    <w:rsid w:val="000D3E88"/>
    <w:rsid w:val="000F1058"/>
    <w:rsid w:val="00121DB0"/>
    <w:rsid w:val="00192C45"/>
    <w:rsid w:val="002D5A1A"/>
    <w:rsid w:val="002F75EF"/>
    <w:rsid w:val="00321AA1"/>
    <w:rsid w:val="003F3869"/>
    <w:rsid w:val="004A6E6B"/>
    <w:rsid w:val="004D0C84"/>
    <w:rsid w:val="004E425F"/>
    <w:rsid w:val="005432FE"/>
    <w:rsid w:val="0058786E"/>
    <w:rsid w:val="005C5CB5"/>
    <w:rsid w:val="00601774"/>
    <w:rsid w:val="006340E1"/>
    <w:rsid w:val="00690569"/>
    <w:rsid w:val="00744156"/>
    <w:rsid w:val="008039C1"/>
    <w:rsid w:val="00864B3B"/>
    <w:rsid w:val="008F5DD6"/>
    <w:rsid w:val="00951EF8"/>
    <w:rsid w:val="009E2F0B"/>
    <w:rsid w:val="009F320D"/>
    <w:rsid w:val="00AA1217"/>
    <w:rsid w:val="00B108A1"/>
    <w:rsid w:val="00B55F7D"/>
    <w:rsid w:val="00BA0647"/>
    <w:rsid w:val="00BA2195"/>
    <w:rsid w:val="00BD02A6"/>
    <w:rsid w:val="00C048F8"/>
    <w:rsid w:val="00C101DE"/>
    <w:rsid w:val="00D61621"/>
    <w:rsid w:val="00D94074"/>
    <w:rsid w:val="00DD6EA6"/>
    <w:rsid w:val="00E316AA"/>
    <w:rsid w:val="00EF21E1"/>
    <w:rsid w:val="00FE729D"/>
    <w:rsid w:val="00FF4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F3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character" w:customStyle="1" w:styleId="Titre1Car">
    <w:name w:val="Titre 1 Car"/>
    <w:basedOn w:val="Policepardfaut"/>
    <w:link w:val="Titre1"/>
    <w:uiPriority w:val="9"/>
    <w:rsid w:val="003F3869"/>
    <w:rPr>
      <w:rFonts w:ascii="Times New Roman" w:eastAsia="Times New Roman" w:hAnsi="Times New Roman" w:cs="Times New Roman"/>
      <w:b/>
      <w:bCs/>
      <w:kern w:val="36"/>
      <w:sz w:val="48"/>
      <w:szCs w:val="48"/>
      <w:lang w:eastAsia="fr-FR"/>
    </w:rPr>
  </w:style>
  <w:style w:type="character" w:customStyle="1" w:styleId="highlight">
    <w:name w:val="highlight"/>
    <w:basedOn w:val="Policepardfaut"/>
    <w:rsid w:val="003F3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F3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character" w:customStyle="1" w:styleId="Titre1Car">
    <w:name w:val="Titre 1 Car"/>
    <w:basedOn w:val="Policepardfaut"/>
    <w:link w:val="Titre1"/>
    <w:uiPriority w:val="9"/>
    <w:rsid w:val="003F3869"/>
    <w:rPr>
      <w:rFonts w:ascii="Times New Roman" w:eastAsia="Times New Roman" w:hAnsi="Times New Roman" w:cs="Times New Roman"/>
      <w:b/>
      <w:bCs/>
      <w:kern w:val="36"/>
      <w:sz w:val="48"/>
      <w:szCs w:val="48"/>
      <w:lang w:eastAsia="fr-FR"/>
    </w:rPr>
  </w:style>
  <w:style w:type="character" w:customStyle="1" w:styleId="highlight">
    <w:name w:val="highlight"/>
    <w:basedOn w:val="Policepardfaut"/>
    <w:rsid w:val="003F3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9953">
      <w:bodyDiv w:val="1"/>
      <w:marLeft w:val="0"/>
      <w:marRight w:val="0"/>
      <w:marTop w:val="0"/>
      <w:marBottom w:val="0"/>
      <w:divBdr>
        <w:top w:val="none" w:sz="0" w:space="0" w:color="auto"/>
        <w:left w:val="none" w:sz="0" w:space="0" w:color="auto"/>
        <w:bottom w:val="none" w:sz="0" w:space="0" w:color="auto"/>
        <w:right w:val="none" w:sz="0" w:space="0" w:color="auto"/>
      </w:divBdr>
    </w:div>
    <w:div w:id="1017577964">
      <w:bodyDiv w:val="1"/>
      <w:marLeft w:val="0"/>
      <w:marRight w:val="0"/>
      <w:marTop w:val="0"/>
      <w:marBottom w:val="0"/>
      <w:divBdr>
        <w:top w:val="none" w:sz="0" w:space="0" w:color="auto"/>
        <w:left w:val="none" w:sz="0" w:space="0" w:color="auto"/>
        <w:bottom w:val="none" w:sz="0" w:space="0" w:color="auto"/>
        <w:right w:val="none" w:sz="0" w:space="0" w:color="auto"/>
      </w:divBdr>
    </w:div>
    <w:div w:id="1036076726">
      <w:bodyDiv w:val="1"/>
      <w:marLeft w:val="0"/>
      <w:marRight w:val="0"/>
      <w:marTop w:val="0"/>
      <w:marBottom w:val="0"/>
      <w:divBdr>
        <w:top w:val="none" w:sz="0" w:space="0" w:color="auto"/>
        <w:left w:val="none" w:sz="0" w:space="0" w:color="auto"/>
        <w:bottom w:val="none" w:sz="0" w:space="0" w:color="auto"/>
        <w:right w:val="none" w:sz="0" w:space="0" w:color="auto"/>
      </w:divBdr>
    </w:div>
    <w:div w:id="1121538796">
      <w:bodyDiv w:val="1"/>
      <w:marLeft w:val="0"/>
      <w:marRight w:val="0"/>
      <w:marTop w:val="0"/>
      <w:marBottom w:val="0"/>
      <w:divBdr>
        <w:top w:val="none" w:sz="0" w:space="0" w:color="auto"/>
        <w:left w:val="none" w:sz="0" w:space="0" w:color="auto"/>
        <w:bottom w:val="none" w:sz="0" w:space="0" w:color="auto"/>
        <w:right w:val="none" w:sz="0" w:space="0" w:color="auto"/>
      </w:divBdr>
      <w:divsChild>
        <w:div w:id="567690236">
          <w:marLeft w:val="0"/>
          <w:marRight w:val="0"/>
          <w:marTop w:val="0"/>
          <w:marBottom w:val="0"/>
          <w:divBdr>
            <w:top w:val="none" w:sz="0" w:space="0" w:color="auto"/>
            <w:left w:val="none" w:sz="0" w:space="0" w:color="auto"/>
            <w:bottom w:val="none" w:sz="0" w:space="0" w:color="auto"/>
            <w:right w:val="none" w:sz="0" w:space="0" w:color="auto"/>
          </w:divBdr>
        </w:div>
        <w:div w:id="1158152889">
          <w:marLeft w:val="0"/>
          <w:marRight w:val="0"/>
          <w:marTop w:val="0"/>
          <w:marBottom w:val="0"/>
          <w:divBdr>
            <w:top w:val="none" w:sz="0" w:space="0" w:color="auto"/>
            <w:left w:val="none" w:sz="0" w:space="0" w:color="auto"/>
            <w:bottom w:val="none" w:sz="0" w:space="0" w:color="auto"/>
            <w:right w:val="none" w:sz="0" w:space="0" w:color="auto"/>
          </w:divBdr>
        </w:div>
        <w:div w:id="100147355">
          <w:marLeft w:val="0"/>
          <w:marRight w:val="0"/>
          <w:marTop w:val="0"/>
          <w:marBottom w:val="0"/>
          <w:divBdr>
            <w:top w:val="none" w:sz="0" w:space="0" w:color="auto"/>
            <w:left w:val="none" w:sz="0" w:space="0" w:color="auto"/>
            <w:bottom w:val="none" w:sz="0" w:space="0" w:color="auto"/>
            <w:right w:val="none" w:sz="0" w:space="0" w:color="auto"/>
          </w:divBdr>
        </w:div>
        <w:div w:id="1859075542">
          <w:marLeft w:val="0"/>
          <w:marRight w:val="0"/>
          <w:marTop w:val="0"/>
          <w:marBottom w:val="0"/>
          <w:divBdr>
            <w:top w:val="none" w:sz="0" w:space="0" w:color="auto"/>
            <w:left w:val="none" w:sz="0" w:space="0" w:color="auto"/>
            <w:bottom w:val="none" w:sz="0" w:space="0" w:color="auto"/>
            <w:right w:val="none" w:sz="0" w:space="0" w:color="auto"/>
          </w:divBdr>
        </w:div>
        <w:div w:id="1211723473">
          <w:marLeft w:val="0"/>
          <w:marRight w:val="0"/>
          <w:marTop w:val="0"/>
          <w:marBottom w:val="0"/>
          <w:divBdr>
            <w:top w:val="none" w:sz="0" w:space="0" w:color="auto"/>
            <w:left w:val="none" w:sz="0" w:space="0" w:color="auto"/>
            <w:bottom w:val="none" w:sz="0" w:space="0" w:color="auto"/>
            <w:right w:val="none" w:sz="0" w:space="0" w:color="auto"/>
          </w:divBdr>
        </w:div>
        <w:div w:id="1810592782">
          <w:marLeft w:val="0"/>
          <w:marRight w:val="0"/>
          <w:marTop w:val="0"/>
          <w:marBottom w:val="0"/>
          <w:divBdr>
            <w:top w:val="none" w:sz="0" w:space="0" w:color="auto"/>
            <w:left w:val="none" w:sz="0" w:space="0" w:color="auto"/>
            <w:bottom w:val="none" w:sz="0" w:space="0" w:color="auto"/>
            <w:right w:val="none" w:sz="0" w:space="0" w:color="auto"/>
          </w:divBdr>
        </w:div>
        <w:div w:id="1840339851">
          <w:marLeft w:val="0"/>
          <w:marRight w:val="0"/>
          <w:marTop w:val="0"/>
          <w:marBottom w:val="0"/>
          <w:divBdr>
            <w:top w:val="none" w:sz="0" w:space="0" w:color="auto"/>
            <w:left w:val="none" w:sz="0" w:space="0" w:color="auto"/>
            <w:bottom w:val="none" w:sz="0" w:space="0" w:color="auto"/>
            <w:right w:val="none" w:sz="0" w:space="0" w:color="auto"/>
          </w:divBdr>
        </w:div>
        <w:div w:id="201217529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730303853">
          <w:marLeft w:val="0"/>
          <w:marRight w:val="0"/>
          <w:marTop w:val="0"/>
          <w:marBottom w:val="0"/>
          <w:divBdr>
            <w:top w:val="none" w:sz="0" w:space="0" w:color="auto"/>
            <w:left w:val="none" w:sz="0" w:space="0" w:color="auto"/>
            <w:bottom w:val="none" w:sz="0" w:space="0" w:color="auto"/>
            <w:right w:val="none" w:sz="0" w:space="0" w:color="auto"/>
          </w:divBdr>
        </w:div>
        <w:div w:id="462117154">
          <w:marLeft w:val="0"/>
          <w:marRight w:val="0"/>
          <w:marTop w:val="0"/>
          <w:marBottom w:val="0"/>
          <w:divBdr>
            <w:top w:val="none" w:sz="0" w:space="0" w:color="auto"/>
            <w:left w:val="none" w:sz="0" w:space="0" w:color="auto"/>
            <w:bottom w:val="none" w:sz="0" w:space="0" w:color="auto"/>
            <w:right w:val="none" w:sz="0" w:space="0" w:color="auto"/>
          </w:divBdr>
        </w:div>
        <w:div w:id="360935869">
          <w:marLeft w:val="0"/>
          <w:marRight w:val="0"/>
          <w:marTop w:val="0"/>
          <w:marBottom w:val="0"/>
          <w:divBdr>
            <w:top w:val="none" w:sz="0" w:space="0" w:color="auto"/>
            <w:left w:val="none" w:sz="0" w:space="0" w:color="auto"/>
            <w:bottom w:val="none" w:sz="0" w:space="0" w:color="auto"/>
            <w:right w:val="none" w:sz="0" w:space="0" w:color="auto"/>
          </w:divBdr>
        </w:div>
        <w:div w:id="2070497230">
          <w:marLeft w:val="0"/>
          <w:marRight w:val="0"/>
          <w:marTop w:val="0"/>
          <w:marBottom w:val="0"/>
          <w:divBdr>
            <w:top w:val="none" w:sz="0" w:space="0" w:color="auto"/>
            <w:left w:val="none" w:sz="0" w:space="0" w:color="auto"/>
            <w:bottom w:val="none" w:sz="0" w:space="0" w:color="auto"/>
            <w:right w:val="none" w:sz="0" w:space="0" w:color="auto"/>
          </w:divBdr>
        </w:div>
        <w:div w:id="1289630416">
          <w:marLeft w:val="0"/>
          <w:marRight w:val="0"/>
          <w:marTop w:val="0"/>
          <w:marBottom w:val="0"/>
          <w:divBdr>
            <w:top w:val="none" w:sz="0" w:space="0" w:color="auto"/>
            <w:left w:val="none" w:sz="0" w:space="0" w:color="auto"/>
            <w:bottom w:val="none" w:sz="0" w:space="0" w:color="auto"/>
            <w:right w:val="none" w:sz="0" w:space="0" w:color="auto"/>
          </w:divBdr>
        </w:div>
        <w:div w:id="1519126449">
          <w:marLeft w:val="0"/>
          <w:marRight w:val="0"/>
          <w:marTop w:val="0"/>
          <w:marBottom w:val="0"/>
          <w:divBdr>
            <w:top w:val="none" w:sz="0" w:space="0" w:color="auto"/>
            <w:left w:val="none" w:sz="0" w:space="0" w:color="auto"/>
            <w:bottom w:val="none" w:sz="0" w:space="0" w:color="auto"/>
            <w:right w:val="none" w:sz="0" w:space="0" w:color="auto"/>
          </w:divBdr>
        </w:div>
        <w:div w:id="191193087">
          <w:marLeft w:val="0"/>
          <w:marRight w:val="0"/>
          <w:marTop w:val="0"/>
          <w:marBottom w:val="0"/>
          <w:divBdr>
            <w:top w:val="none" w:sz="0" w:space="0" w:color="auto"/>
            <w:left w:val="none" w:sz="0" w:space="0" w:color="auto"/>
            <w:bottom w:val="none" w:sz="0" w:space="0" w:color="auto"/>
            <w:right w:val="none" w:sz="0" w:space="0" w:color="auto"/>
          </w:divBdr>
        </w:div>
        <w:div w:id="1581141195">
          <w:marLeft w:val="0"/>
          <w:marRight w:val="0"/>
          <w:marTop w:val="0"/>
          <w:marBottom w:val="0"/>
          <w:divBdr>
            <w:top w:val="none" w:sz="0" w:space="0" w:color="auto"/>
            <w:left w:val="none" w:sz="0" w:space="0" w:color="auto"/>
            <w:bottom w:val="none" w:sz="0" w:space="0" w:color="auto"/>
            <w:right w:val="none" w:sz="0" w:space="0" w:color="auto"/>
          </w:divBdr>
        </w:div>
        <w:div w:id="354768444">
          <w:marLeft w:val="0"/>
          <w:marRight w:val="0"/>
          <w:marTop w:val="0"/>
          <w:marBottom w:val="0"/>
          <w:divBdr>
            <w:top w:val="none" w:sz="0" w:space="0" w:color="auto"/>
            <w:left w:val="none" w:sz="0" w:space="0" w:color="auto"/>
            <w:bottom w:val="none" w:sz="0" w:space="0" w:color="auto"/>
            <w:right w:val="none" w:sz="0" w:space="0" w:color="auto"/>
          </w:divBdr>
        </w:div>
        <w:div w:id="1330405014">
          <w:marLeft w:val="0"/>
          <w:marRight w:val="0"/>
          <w:marTop w:val="0"/>
          <w:marBottom w:val="0"/>
          <w:divBdr>
            <w:top w:val="none" w:sz="0" w:space="0" w:color="auto"/>
            <w:left w:val="none" w:sz="0" w:space="0" w:color="auto"/>
            <w:bottom w:val="none" w:sz="0" w:space="0" w:color="auto"/>
            <w:right w:val="none" w:sz="0" w:space="0" w:color="auto"/>
          </w:divBdr>
        </w:div>
      </w:divsChild>
    </w:div>
    <w:div w:id="1722512311">
      <w:bodyDiv w:val="1"/>
      <w:marLeft w:val="0"/>
      <w:marRight w:val="0"/>
      <w:marTop w:val="0"/>
      <w:marBottom w:val="0"/>
      <w:divBdr>
        <w:top w:val="none" w:sz="0" w:space="0" w:color="auto"/>
        <w:left w:val="none" w:sz="0" w:space="0" w:color="auto"/>
        <w:bottom w:val="none" w:sz="0" w:space="0" w:color="auto"/>
        <w:right w:val="none" w:sz="0" w:space="0" w:color="auto"/>
      </w:divBdr>
      <w:divsChild>
        <w:div w:id="1145005766">
          <w:marLeft w:val="0"/>
          <w:marRight w:val="0"/>
          <w:marTop w:val="0"/>
          <w:marBottom w:val="0"/>
          <w:divBdr>
            <w:top w:val="none" w:sz="0" w:space="0" w:color="auto"/>
            <w:left w:val="none" w:sz="0" w:space="0" w:color="auto"/>
            <w:bottom w:val="none" w:sz="0" w:space="0" w:color="auto"/>
            <w:right w:val="none" w:sz="0" w:space="0" w:color="auto"/>
          </w:divBdr>
        </w:div>
        <w:div w:id="1766999885">
          <w:marLeft w:val="0"/>
          <w:marRight w:val="0"/>
          <w:marTop w:val="0"/>
          <w:marBottom w:val="0"/>
          <w:divBdr>
            <w:top w:val="none" w:sz="0" w:space="0" w:color="auto"/>
            <w:left w:val="none" w:sz="0" w:space="0" w:color="auto"/>
            <w:bottom w:val="none" w:sz="0" w:space="0" w:color="auto"/>
            <w:right w:val="none" w:sz="0" w:space="0" w:color="auto"/>
          </w:divBdr>
        </w:div>
        <w:div w:id="1856919691">
          <w:marLeft w:val="0"/>
          <w:marRight w:val="0"/>
          <w:marTop w:val="0"/>
          <w:marBottom w:val="0"/>
          <w:divBdr>
            <w:top w:val="none" w:sz="0" w:space="0" w:color="auto"/>
            <w:left w:val="none" w:sz="0" w:space="0" w:color="auto"/>
            <w:bottom w:val="none" w:sz="0" w:space="0" w:color="auto"/>
            <w:right w:val="none" w:sz="0" w:space="0" w:color="auto"/>
          </w:divBdr>
        </w:div>
        <w:div w:id="1819607778">
          <w:marLeft w:val="0"/>
          <w:marRight w:val="0"/>
          <w:marTop w:val="0"/>
          <w:marBottom w:val="0"/>
          <w:divBdr>
            <w:top w:val="none" w:sz="0" w:space="0" w:color="auto"/>
            <w:left w:val="none" w:sz="0" w:space="0" w:color="auto"/>
            <w:bottom w:val="none" w:sz="0" w:space="0" w:color="auto"/>
            <w:right w:val="none" w:sz="0" w:space="0" w:color="auto"/>
          </w:divBdr>
        </w:div>
        <w:div w:id="341663979">
          <w:marLeft w:val="0"/>
          <w:marRight w:val="0"/>
          <w:marTop w:val="0"/>
          <w:marBottom w:val="0"/>
          <w:divBdr>
            <w:top w:val="none" w:sz="0" w:space="0" w:color="auto"/>
            <w:left w:val="none" w:sz="0" w:space="0" w:color="auto"/>
            <w:bottom w:val="none" w:sz="0" w:space="0" w:color="auto"/>
            <w:right w:val="none" w:sz="0" w:space="0" w:color="auto"/>
          </w:divBdr>
        </w:div>
        <w:div w:id="1228419396">
          <w:marLeft w:val="0"/>
          <w:marRight w:val="0"/>
          <w:marTop w:val="0"/>
          <w:marBottom w:val="0"/>
          <w:divBdr>
            <w:top w:val="none" w:sz="0" w:space="0" w:color="auto"/>
            <w:left w:val="none" w:sz="0" w:space="0" w:color="auto"/>
            <w:bottom w:val="none" w:sz="0" w:space="0" w:color="auto"/>
            <w:right w:val="none" w:sz="0" w:space="0" w:color="auto"/>
          </w:divBdr>
        </w:div>
        <w:div w:id="132411902">
          <w:marLeft w:val="0"/>
          <w:marRight w:val="0"/>
          <w:marTop w:val="0"/>
          <w:marBottom w:val="0"/>
          <w:divBdr>
            <w:top w:val="none" w:sz="0" w:space="0" w:color="auto"/>
            <w:left w:val="none" w:sz="0" w:space="0" w:color="auto"/>
            <w:bottom w:val="none" w:sz="0" w:space="0" w:color="auto"/>
            <w:right w:val="none" w:sz="0" w:space="0" w:color="auto"/>
          </w:divBdr>
        </w:div>
        <w:div w:id="1504667388">
          <w:marLeft w:val="0"/>
          <w:marRight w:val="0"/>
          <w:marTop w:val="0"/>
          <w:marBottom w:val="0"/>
          <w:divBdr>
            <w:top w:val="none" w:sz="0" w:space="0" w:color="auto"/>
            <w:left w:val="none" w:sz="0" w:space="0" w:color="auto"/>
            <w:bottom w:val="none" w:sz="0" w:space="0" w:color="auto"/>
            <w:right w:val="none" w:sz="0" w:space="0" w:color="auto"/>
          </w:divBdr>
        </w:div>
        <w:div w:id="1968125767">
          <w:marLeft w:val="0"/>
          <w:marRight w:val="0"/>
          <w:marTop w:val="0"/>
          <w:marBottom w:val="0"/>
          <w:divBdr>
            <w:top w:val="none" w:sz="0" w:space="0" w:color="auto"/>
            <w:left w:val="none" w:sz="0" w:space="0" w:color="auto"/>
            <w:bottom w:val="none" w:sz="0" w:space="0" w:color="auto"/>
            <w:right w:val="none" w:sz="0" w:space="0" w:color="auto"/>
          </w:divBdr>
        </w:div>
        <w:div w:id="76782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5</Pages>
  <Words>1553</Words>
  <Characters>8544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DELAYE Matthieu</cp:lastModifiedBy>
  <cp:revision>21</cp:revision>
  <dcterms:created xsi:type="dcterms:W3CDTF">2020-01-16T19:49:00Z</dcterms:created>
  <dcterms:modified xsi:type="dcterms:W3CDTF">2020-02-20T11:09:00Z</dcterms:modified>
</cp:coreProperties>
</file>